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left="0" w:firstLine="0"/>
        <w:rPr>
          <w:rFonts w:hint="eastAsia" w:eastAsia="宋体"/>
          <w:color w:val="000000"/>
          <w:highlight w:val="none"/>
          <w:lang w:eastAsia="zh-CN"/>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6468110" cy="9155430"/>
                <wp:effectExtent l="0" t="0" r="8890" b="7620"/>
                <wp:docPr id="6" name="图片 6"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封面_01"/>
                        <pic:cNvPicPr>
                          <a:picLocks noChangeAspect="1"/>
                        </pic:cNvPicPr>
                        <pic:nvPr/>
                      </pic:nvPicPr>
                      <pic:blipFill>
                        <a:blip r:embed="rId20"/>
                        <a:stretch/>
                      </pic:blipFill>
                      <pic:spPr bwMode="auto">
                        <a:xfrm>
                          <a:off x="0" y="0"/>
                          <a:ext cx="6468110" cy="9155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09.3pt;height:720.9pt;mso-wrap-distance-left:0.0pt;mso-wrap-distance-top:0.0pt;mso-wrap-distance-right:0.0pt;mso-wrap-distance-bottom:0.0pt;" stroked="false">
                <v:path textboxrect="0,0,0,0"/>
                <v:imagedata r:id="rId20" o:title=""/>
              </v:shape>
            </w:pict>
          </mc:Fallback>
        </mc:AlternateContent>
      </w:r>
      <w:r/>
    </w:p>
    <w:p>
      <w:pPr>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p>
    <w:p>
      <w:pPr>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p>
    <w:p>
      <w:pPr>
        <w:ind w:firstLine="120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rPr>
        <w:t xml:space="preserve">5</w:t>
      </w:r>
      <w:r/>
    </w:p>
    <w:p>
      <w:pPr>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color w:val="000000"/>
          <w:sz w:val="30"/>
          <w:highlight w:val="none"/>
        </w:rPr>
        <w:t xml:space="preserve">      </w:t>
      </w:r>
      <w:r/>
    </w:p>
    <w:p>
      <w:pPr>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p>
    <w:p>
      <w:pPr>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p>
    <w:p>
      <w:pPr>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3</w:t>
      </w:r>
      <w:r/>
    </w:p>
    <w:p>
      <w:pPr>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w:t>
      </w:r>
      <w:r/>
    </w:p>
    <w:p>
      <w:pPr>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7</w:t>
      </w:r>
      <w:r/>
    </w:p>
    <w:p>
      <w:pPr>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22</w:t>
      </w:r>
      <w:r/>
    </w:p>
    <w:p>
      <w:pPr>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35</w:t>
      </w:r>
      <w:r>
        <w:rPr>
          <w:rFonts w:hint="eastAsia" w:ascii="宋体" w:hAnsi="宋体"/>
          <w:color w:val="000000"/>
          <w:sz w:val="30"/>
          <w:highlight w:val="none"/>
        </w:rPr>
        <w:t xml:space="preserve">   </w:t>
      </w:r>
      <w:r/>
    </w:p>
    <w:p>
      <w:pPr>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39</w:t>
      </w:r>
      <w:r/>
    </w:p>
    <w:p>
      <w:pPr>
        <w:ind w:firstLine="1050"/>
        <w:jc w:val="left"/>
        <w:spacing w:line="8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44</w:t>
      </w:r>
      <w:r/>
    </w:p>
    <w:p>
      <w:pPr>
        <w:pStyle w:val="1072"/>
        <w:ind w:firstLine="482"/>
        <w:rPr>
          <w:rFonts w:hint="eastAsia" w:ascii="宋体" w:hAnsi="宋体"/>
          <w:b/>
          <w:color w:val="000000"/>
          <w:sz w:val="48"/>
          <w:highlight w:val="none"/>
        </w:rPr>
      </w:pPr>
      <w:r>
        <w:rPr>
          <w:rFonts w:hint="eastAsia" w:ascii="宋体" w:hAnsi="宋体"/>
          <w:b/>
          <w:color w:val="000000"/>
          <w:sz w:val="48"/>
          <w:highlight w:val="none"/>
        </w:rPr>
      </w:r>
      <w:r/>
    </w:p>
    <w:p>
      <w:pPr>
        <w:rPr>
          <w:rFonts w:hint="eastAsia" w:ascii="宋体" w:hAnsi="宋体"/>
          <w:b/>
          <w:color w:val="000000"/>
          <w:sz w:val="48"/>
          <w:highlight w:val="none"/>
        </w:rPr>
      </w:pPr>
      <w:r>
        <w:rPr>
          <w:rFonts w:hint="eastAsia" w:ascii="宋体" w:hAnsi="宋体"/>
          <w:b/>
          <w:color w:val="000000"/>
          <w:sz w:val="48"/>
          <w:highlight w:val="none"/>
        </w:rPr>
      </w:r>
      <w:r/>
    </w:p>
    <w:p>
      <w:pPr>
        <w:rPr>
          <w:rFonts w:hint="eastAsia"/>
          <w:color w:val="000000"/>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60"/>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p>
    <w:tbl>
      <w:tblPr>
        <w:tblStyle w:val="877"/>
        <w:tblW w:w="9795"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5"/>
      </w:tblGrid>
      <w:tr>
        <w:trPr/>
        <w:tc>
          <w:tcPr>
            <w:tcW w:w="9795" w:type="dxa"/>
            <w:vAlign w:val="top"/>
            <w:textDirection w:val="lrTb"/>
            <w:noWrap/>
          </w:tcPr>
          <w:p>
            <w:pPr>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p>
          <w:p>
            <w:pPr>
              <w:ind w:left="239" w:firstLine="307"/>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建湖县建筑装修垃圾收集站改建及县城中转对接站大修项目</w:t>
            </w:r>
            <w:r>
              <w:rPr>
                <w:rFonts w:hint="eastAsia" w:ascii="宋体" w:hAnsi="宋体"/>
                <w:bCs/>
                <w:color w:val="000000"/>
                <w:sz w:val="24"/>
                <w:highlight w:val="none"/>
                <w:u w:val="single"/>
                <w:lang w:val="en-US" w:eastAsia="zh-CN"/>
              </w:rPr>
              <w:t xml:space="preserve">  JSZC-320925-YDGC-G2025-0047 </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2025</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24</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15</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p>
        </w:tc>
      </w:tr>
    </w:tbl>
    <w:p>
      <w:pPr>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p>
    <w:p>
      <w:pPr>
        <w:ind w:firstLine="480"/>
        <w:jc w:val="left"/>
        <w:keepLines w:val="0"/>
        <w:keepNext w:val="0"/>
        <w:pageBreakBefore w:val="0"/>
        <w:spacing w:line="460" w:lineRule="exact"/>
        <w:widowControl/>
        <w:rPr>
          <w:rFonts w:ascii="宋体" w:hAnsi="宋体" w:cs="Arial"/>
          <w:bCs/>
          <w:color w:val="000000"/>
          <w:sz w:val="24"/>
          <w:szCs w:val="24"/>
          <w:highlight w:val="none"/>
          <w:lang w:val="en-US"/>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：JSZC-320925-YDGC-G2025-0047</w:t>
      </w:r>
      <w:r>
        <w:rPr>
          <w:rFonts w:hint="eastAsia" w:ascii="宋体" w:hAnsi="宋体" w:cs="Arial"/>
          <w:bCs/>
          <w:color w:val="000000"/>
          <w:sz w:val="24"/>
          <w:szCs w:val="24"/>
          <w:highlight w:val="none"/>
          <w:lang w:val="en-US" w:eastAsia="zh-CN"/>
        </w:rPr>
        <w:t xml:space="preserve"> </w:t>
      </w:r>
      <w:r/>
    </w:p>
    <w:p>
      <w:pPr>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建湖县建筑装修垃圾收集站改建及县城中转对接站大修项目</w:t>
      </w:r>
      <w:r/>
    </w:p>
    <w:p>
      <w:pPr>
        <w:ind w:firstLine="480"/>
        <w:jc w:val="left"/>
        <w:keepLines w:val="0"/>
        <w:keepNext w:val="0"/>
        <w:pageBreakBefore w:val="0"/>
        <w:spacing w:line="460" w:lineRule="exact"/>
        <w:widowControl/>
        <w:rPr>
          <w:rFonts w:hint="eastAsia"/>
          <w:color w:val="000000"/>
          <w:sz w:val="24"/>
          <w:szCs w:val="22"/>
          <w:highlight w:val="none"/>
        </w:rPr>
      </w:pPr>
      <w:r>
        <w:rPr>
          <w:rFonts w:hint="eastAsia"/>
          <w:color w:val="000000"/>
          <w:sz w:val="24"/>
          <w:szCs w:val="22"/>
          <w:highlight w:val="none"/>
        </w:rPr>
        <w:t xml:space="preserve">预算金额：</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228.9万元</w:t>
      </w:r>
      <w:r>
        <w:rPr>
          <w:rFonts w:hint="eastAsia" w:ascii="宋体" w:hAnsi="宋体" w:cs="Arial"/>
          <w:bCs/>
          <w:color w:val="000000"/>
          <w:sz w:val="24"/>
          <w:highlight w:val="none"/>
        </w:rPr>
        <w:t xml:space="preserve">；</w:t>
      </w:r>
      <w:r/>
    </w:p>
    <w:p>
      <w:pPr>
        <w:ind w:firstLine="480"/>
        <w:keepLines w:val="0"/>
        <w:keepNext w:val="0"/>
        <w:pageBreakBefore w:val="0"/>
        <w:spacing w:line="500" w:lineRule="exact"/>
        <w:widowControl w:val="off"/>
        <w:rPr>
          <w:rFonts w:hint="eastAsia"/>
          <w:color w:val="000000"/>
          <w:sz w:val="24"/>
          <w:szCs w:val="22"/>
          <w:highlight w:val="none"/>
        </w:rPr>
      </w:pPr>
      <w:r>
        <w:rPr>
          <w:rFonts w:hint="eastAsia"/>
          <w:color w:val="000000"/>
          <w:sz w:val="24"/>
          <w:szCs w:val="22"/>
          <w:highlight w:val="none"/>
        </w:rPr>
        <w:t xml:space="preserve">最高限价（如有）：</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228.9万元</w:t>
      </w:r>
      <w:r>
        <w:rPr>
          <w:rFonts w:hint="eastAsia" w:ascii="宋体" w:hAnsi="宋体" w:cs="宋体"/>
          <w:color w:val="000000" w:themeColor="text1"/>
          <w:sz w:val="24"/>
          <w:highlight w:val="none"/>
          <w:shd w:val="clear" w:color="auto" w:fill="ffffff"/>
          <w14:textFill>
            <w14:solidFill>
              <w14:schemeClr w14:val="tx1"/>
            </w14:solidFill>
          </w14:textFill>
        </w:rPr>
        <w:t xml:space="preserve">，投标报价高于该限价的作无效标处理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color w:val="000000"/>
          <w:sz w:val="24"/>
          <w:szCs w:val="22"/>
          <w:highlight w:val="none"/>
        </w:rPr>
        <w:t xml:space="preserve"> </w:t>
      </w:r>
      <w:r/>
    </w:p>
    <w:p>
      <w:pPr>
        <w:ind w:firstLine="480"/>
        <w:jc w:val="left"/>
        <w:spacing w:line="520" w:lineRule="exact"/>
        <w:widowControl/>
        <w:rPr>
          <w:rFonts w:ascii="宋体" w:hAnsi="宋体" w:eastAsia="宋体" w:cs="宋体"/>
          <w:color w:val="000000"/>
          <w:sz w:val="24"/>
          <w:highlight w:val="none"/>
          <w:lang w:val="en-US" w:eastAsia="zh-CN"/>
        </w:rPr>
      </w:pPr>
      <w:r>
        <w:rPr>
          <w:rFonts w:hint="eastAsia" w:ascii="宋体" w:hAnsi="宋体" w:eastAsia="宋体" w:cs="Arial"/>
          <w:bCs/>
          <w:color w:val="000000"/>
          <w:sz w:val="24"/>
          <w:szCs w:val="20"/>
          <w:highlight w:val="none"/>
          <w:lang w:val="en-US" w:eastAsia="zh-CN" w:bidi="ar-SA"/>
        </w:rPr>
        <w:t xml:space="preserve">采购需求：</w:t>
      </w:r>
      <w:r>
        <w:rPr>
          <w:rFonts w:hint="eastAsia" w:ascii="宋体" w:hAnsi="宋体" w:cs="宋体"/>
          <w:color w:val="000000"/>
          <w:sz w:val="24"/>
          <w:highlight w:val="none"/>
          <w:lang w:eastAsia="zh-CN"/>
        </w:rPr>
        <w:t xml:space="preserve">建湖县环境卫生服务中心</w:t>
      </w:r>
      <w:r>
        <w:rPr>
          <w:rFonts w:hint="eastAsia" w:ascii="宋体" w:hAnsi="宋体" w:cs="宋体"/>
          <w:color w:val="000000"/>
          <w:sz w:val="24"/>
          <w:highlight w:val="none"/>
          <w:lang w:val="en-US" w:eastAsia="zh-CN"/>
        </w:rPr>
        <w:t xml:space="preserve">采购</w:t>
      </w:r>
      <w:r>
        <w:rPr>
          <w:rFonts w:hint="eastAsia" w:ascii="宋体" w:hAnsi="宋体" w:cs="Arial"/>
          <w:bCs/>
          <w:color w:val="000000"/>
          <w:sz w:val="24"/>
          <w:szCs w:val="20"/>
          <w:highlight w:val="none"/>
          <w:lang w:val="en-US" w:eastAsia="zh-CN" w:bidi="ar-SA"/>
        </w:rPr>
        <w:t xml:space="preserve">升降式建筑垃圾收集箱三套、钩臂式建筑垃圾收集箱三套、降尘设备三套，维修现有垃圾压缩设备的大推缸和整体提升油缸及附属设施建设</w:t>
      </w:r>
      <w:r>
        <w:rPr>
          <w:rFonts w:hint="eastAsia" w:ascii="宋体" w:hAnsi="宋体" w:eastAsia="宋体" w:cs="Arial"/>
          <w:bCs/>
          <w:color w:val="000000"/>
          <w:sz w:val="24"/>
          <w:szCs w:val="20"/>
          <w:highlight w:val="none"/>
          <w:lang w:val="en-US" w:eastAsia="zh-CN" w:bidi="ar-SA"/>
        </w:rPr>
        <w:t xml:space="preserve">，</w:t>
      </w:r>
      <w:r>
        <w:rPr>
          <w:rFonts w:hint="eastAsia" w:ascii="宋体" w:hAnsi="宋体" w:cs="宋体"/>
          <w:b w:val="0"/>
          <w:bCs w:val="0"/>
          <w:color w:val="000000"/>
          <w:sz w:val="24"/>
          <w:szCs w:val="24"/>
          <w:highlight w:val="none"/>
        </w:rPr>
        <w:t xml:space="preserve">包括产品的供货、运输（送达至采购人指定地点并卸货）、安装</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及售后服务等内容</w:t>
      </w:r>
      <w:r>
        <w:rPr>
          <w:rFonts w:hint="eastAsia" w:ascii="宋体" w:hAnsi="宋体" w:cs="宋体"/>
          <w:bCs/>
          <w:color w:val="000000"/>
          <w:sz w:val="24"/>
          <w:highlight w:val="none"/>
        </w:rPr>
        <w:t xml:space="preserve">，详见招标文件要求</w:t>
      </w:r>
      <w:r>
        <w:rPr>
          <w:rFonts w:hint="eastAsia" w:ascii="宋体" w:hAnsi="宋体"/>
          <w:color w:val="000000"/>
          <w:sz w:val="24"/>
          <w:highlight w:val="none"/>
        </w:rPr>
        <w:t xml:space="preserve">；</w:t>
      </w:r>
      <w:r/>
    </w:p>
    <w:p>
      <w:pPr>
        <w:ind w:firstLine="480"/>
        <w:jc w:val="left"/>
        <w:spacing w:line="45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供货期：合同签订后</w:t>
      </w:r>
      <w:r>
        <w:rPr>
          <w:rFonts w:hint="eastAsia" w:ascii="宋体" w:hAnsi="宋体" w:cs="宋体"/>
          <w:color w:val="000000"/>
          <w:sz w:val="24"/>
          <w:szCs w:val="24"/>
          <w:highlight w:val="none"/>
          <w:u w:val="single"/>
          <w:lang w:val="en-US" w:eastAsia="zh-CN"/>
        </w:rPr>
        <w:t xml:space="preserve">60</w:t>
      </w:r>
      <w:r>
        <w:rPr>
          <w:rFonts w:hint="eastAsia" w:ascii="宋体" w:hAnsi="宋体" w:cs="宋体"/>
          <w:color w:val="000000"/>
          <w:sz w:val="24"/>
          <w:szCs w:val="24"/>
          <w:highlight w:val="none"/>
          <w:lang w:val="en-US" w:eastAsia="zh-CN"/>
        </w:rPr>
        <w:t xml:space="preserve">天内供货到指定地点安装、调试、验收等并交付采购人使用；</w:t>
      </w:r>
      <w:r/>
    </w:p>
    <w:p>
      <w:pPr>
        <w:ind w:firstLine="480"/>
        <w:jc w:val="left"/>
        <w:spacing w:line="450" w:lineRule="exact"/>
        <w:widowControl/>
        <w:rPr>
          <w:rFonts w:ascii="宋体" w:hAnsi="宋体" w:eastAsia="宋体" w:cs="宋体"/>
          <w:color w:val="000000"/>
          <w:sz w:val="24"/>
          <w:szCs w:val="24"/>
          <w:highlight w:val="none"/>
          <w:lang w:val="en-US" w:eastAsia="zh-CN"/>
        </w:rPr>
      </w:pPr>
      <w:r>
        <w:rPr>
          <w:rFonts w:hint="eastAsia" w:ascii="宋体" w:hAnsi="宋体" w:cs="Arial"/>
          <w:color w:val="000000"/>
          <w:sz w:val="24"/>
          <w:highlight w:val="none"/>
        </w:rPr>
        <w:t xml:space="preserve">质保期：</w:t>
      </w:r>
      <w:r>
        <w:rPr>
          <w:rFonts w:hint="eastAsia" w:ascii="宋体" w:hAnsi="宋体"/>
          <w:color w:val="000000"/>
          <w:sz w:val="24"/>
          <w:highlight w:val="none"/>
          <w:u w:val="single"/>
          <w:lang w:val="en-US" w:eastAsia="zh-CN"/>
        </w:rPr>
        <w:t xml:space="preserve">1 </w:t>
      </w:r>
      <w:r>
        <w:rPr>
          <w:rFonts w:hint="eastAsia" w:ascii="宋体" w:hAnsi="宋体"/>
          <w:color w:val="000000"/>
          <w:sz w:val="24"/>
          <w:highlight w:val="none"/>
          <w:lang w:val="en-US" w:eastAsia="zh-CN"/>
        </w:rPr>
        <w:t xml:space="preserve">年</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p>
    <w:p>
      <w:pPr>
        <w:ind w:firstLine="482"/>
        <w:jc w:val="left"/>
        <w:keepLines w:val="0"/>
        <w:keepNext w:val="0"/>
        <w:pageBreakBefore w:val="0"/>
        <w:spacing w:line="46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p>
    <w:p>
      <w:pPr>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2.上一年度的财务状况报表（成立不满一年不需提供）；</w:t>
      </w:r>
      <w:r/>
    </w:p>
    <w:p>
      <w:pPr>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p>
    <w:p>
      <w:pPr>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p>
    <w:p>
      <w:pPr>
        <w:ind w:firstLine="480"/>
        <w:jc w:val="left"/>
        <w:keepLines w:val="0"/>
        <w:keepNext w:val="0"/>
        <w:pageBreakBefore w:val="0"/>
        <w:spacing w:line="46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p>
    <w:p>
      <w:pPr>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p>
    <w:p>
      <w:pPr>
        <w:ind w:firstLine="480"/>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政策采购促进中小企业发展；</w:t>
      </w:r>
      <w:r/>
    </w:p>
    <w:p>
      <w:pPr>
        <w:ind w:firstLine="480"/>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政府采购促进残疾人福利单位发展；</w:t>
      </w:r>
      <w:r/>
    </w:p>
    <w:p>
      <w:pPr>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政府采购促进监狱和戒毒企业发展；</w:t>
      </w:r>
      <w:r/>
    </w:p>
    <w:p>
      <w:pPr>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为鼓励中小企业发展，如中标企业为中小企业，则由该企业负责所有项目的运营；如中标企业为非中小企业，则中标企业须将不低于总项目</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0%的份额，其中预留给小微企业的比例不低于60%，分包给具有相关相应能力的中小企业，由中标企业统一管理。</w:t>
      </w:r>
      <w:r/>
    </w:p>
    <w:p>
      <w:p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p>
    <w:p>
      <w:p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p>
    <w:p>
      <w:p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p>
    <w:p>
      <w:pPr>
        <w:ind w:firstLine="480"/>
        <w:jc w:val="left"/>
        <w:keepLines w:val="0"/>
        <w:keepNext w:val="0"/>
        <w:pageBreakBefore w:val="0"/>
        <w:spacing w:line="46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p>
    <w:p>
      <w:pPr>
        <w:ind w:firstLine="480"/>
        <w:jc w:val="left"/>
        <w:spacing w:line="45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投标申请人应是中华人民共和国境内注册的供应商；</w:t>
      </w:r>
      <w:r/>
    </w:p>
    <w:p>
      <w:pPr>
        <w:ind w:firstLine="480"/>
        <w:jc w:val="left"/>
        <w:spacing w:line="45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45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p>
    <w:p>
      <w:pPr>
        <w:ind w:firstLine="482"/>
        <w:jc w:val="left"/>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bookmarkStart w:id="0" w:name="_Toc42249844"/>
      <w:r/>
      <w:bookmarkStart w:id="1" w:name="QLCZYSX_1"/>
      <w:r/>
      <w:bookmarkStart w:id="2" w:name="_Toc42249797"/>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bookmarkEnd w:id="0"/>
      <w:bookmarkEnd w:id="1"/>
      <w:bookmarkEnd w:id="2"/>
      <w:r/>
    </w:p>
    <w:p>
      <w:pPr>
        <w:ind w:firstLine="482"/>
        <w:jc w:val="left"/>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eastAsia="宋体" w:cs="Times New Roman"/>
          <w:b w:val="0"/>
          <w:bCs w:val="0"/>
          <w:color w:val="000000"/>
          <w:sz w:val="24"/>
          <w:highlight w:val="none"/>
          <w:lang w:eastAsia="zh-CN"/>
        </w:rPr>
        <w:t xml:space="preserve">2025-</w:t>
      </w:r>
      <w:r>
        <w:rPr>
          <w:rFonts w:hint="eastAsia" w:ascii="宋体" w:hAnsi="宋体" w:cs="Times New Roman"/>
          <w:b w:val="0"/>
          <w:bCs w:val="0"/>
          <w:color w:val="000000"/>
          <w:sz w:val="24"/>
          <w:highlight w:val="none"/>
          <w:lang w:val="en-US" w:eastAsia="zh-CN"/>
        </w:rPr>
        <w:t xml:space="preserve">11</w:t>
      </w:r>
      <w:r>
        <w:rPr>
          <w:rFonts w:hint="eastAsia" w:ascii="宋体" w:hAnsi="宋体" w:eastAsia="宋体" w:cs="Times New Roman"/>
          <w:b w:val="0"/>
          <w:bCs w:val="0"/>
          <w:color w:val="000000"/>
          <w:sz w:val="24"/>
          <w:highlight w:val="none"/>
          <w:lang w:eastAsia="zh-CN"/>
        </w:rPr>
        <w:t xml:space="preserve">-</w:t>
      </w:r>
      <w:r>
        <w:rPr>
          <w:rFonts w:hint="eastAsia" w:ascii="宋体" w:hAnsi="宋体" w:cs="Times New Roman"/>
          <w:b w:val="0"/>
          <w:bCs w:val="0"/>
          <w:color w:val="000000"/>
          <w:sz w:val="24"/>
          <w:highlight w:val="none"/>
          <w:lang w:val="en-US" w:eastAsia="zh-CN"/>
        </w:rPr>
        <w:t xml:space="preserve">24 </w:t>
      </w:r>
      <w:r>
        <w:rPr>
          <w:rFonts w:hint="eastAsia" w:ascii="宋体" w:hAnsi="宋体" w:eastAsia="宋体" w:cs="Times New Roman"/>
          <w:b w:val="0"/>
          <w:bCs w:val="0"/>
          <w:color w:val="000000"/>
          <w:sz w:val="24"/>
          <w:highlight w:val="none"/>
          <w:lang w:eastAsia="zh-CN"/>
        </w:rPr>
        <w:t xml:space="preserve"> </w:t>
      </w:r>
      <w:r>
        <w:rPr>
          <w:rFonts w:hint="eastAsia" w:ascii="宋体" w:hAnsi="宋体" w:cs="Times New Roman"/>
          <w:b w:val="0"/>
          <w:bCs w:val="0"/>
          <w:color w:val="000000"/>
          <w:sz w:val="24"/>
          <w:highlight w:val="none"/>
          <w:lang w:val="en-US" w:eastAsia="zh-CN"/>
        </w:rPr>
        <w:t xml:space="preserve">15</w:t>
      </w:r>
      <w:r>
        <w:rPr>
          <w:rFonts w:hint="eastAsia" w:ascii="宋体" w:hAnsi="宋体" w:eastAsia="宋体" w:cs="Times New Roman"/>
          <w:b w:val="0"/>
          <w:bCs w:val="0"/>
          <w:color w:val="000000"/>
          <w:sz w:val="24"/>
          <w:highlight w:val="none"/>
          <w:lang w:eastAsia="zh-CN"/>
        </w:rPr>
        <w:t xml:space="preserve">:00 </w:t>
      </w:r>
      <w:r>
        <w:rPr>
          <w:rFonts w:hint="eastAsia" w:ascii="宋体" w:hAnsi="宋体" w:cs="宋体"/>
          <w:bCs/>
          <w:color w:val="000000"/>
          <w:sz w:val="24"/>
          <w:highlight w:val="none"/>
        </w:rPr>
        <w:t xml:space="preserve">（北京时间）</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p>
    <w:p>
      <w:pPr>
        <w:ind w:firstLine="482"/>
        <w:jc w:val="left"/>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p>
    <w:p>
      <w:p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p>
    <w:p>
      <w:pPr>
        <w:ind w:firstLine="482"/>
        <w:jc w:val="left"/>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p>
    <w:p>
      <w:pPr>
        <w:ind w:left="0" w:right="0" w:firstLine="480"/>
        <w:jc w:val="left"/>
        <w:keepLines w:val="0"/>
        <w:keepNext w:val="0"/>
        <w:pageBreakBefore w:val="0"/>
        <w:spacing w:before="0" w:beforeAutospacing="0" w:after="0" w:afterAutospacing="0" w:line="40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p>
    <w:p>
      <w:pPr>
        <w:ind w:left="0" w:right="0" w:firstLine="482"/>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p>
    <w:p>
      <w:pPr>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p>
    <w:p>
      <w:pPr>
        <w:ind w:firstLine="482"/>
        <w:keepLines w:val="0"/>
        <w:keepNext w:val="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p>
    <w:p>
      <w:pPr>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p>
    <w:p>
      <w:pPr>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建湖县环境卫生服务中心</w:t>
      </w:r>
      <w:r/>
    </w:p>
    <w:p>
      <w:pPr>
        <w:ind w:firstLine="480"/>
        <w:keepLines w:val="0"/>
        <w:keepNext w:val="0"/>
        <w:pageBreakBefore w:val="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建湖县安康路南首</w:t>
      </w:r>
      <w:r/>
    </w:p>
    <w:p>
      <w:pPr>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13921853026</w:t>
      </w:r>
      <w:r/>
    </w:p>
    <w:p>
      <w:pPr>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p>
    <w:p>
      <w:pPr>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永道工程咨询（江苏）有限公司</w:t>
      </w:r>
      <w:r/>
    </w:p>
    <w:p>
      <w:pPr>
        <w:ind w:firstLine="480"/>
        <w:keepLines w:val="0"/>
        <w:keepNext w:val="0"/>
        <w:pageBreakBefore w:val="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地址：建湖县书香苑1幢112号</w:t>
      </w:r>
      <w:r/>
    </w:p>
    <w:p>
      <w:pPr>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19516520728</w:t>
      </w:r>
      <w:r/>
    </w:p>
    <w:p>
      <w:pPr>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p>
    <w:p>
      <w:pPr>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val="en-US" w:eastAsia="zh-CN"/>
        </w:rPr>
        <w:t xml:space="preserve">陆</w:t>
      </w:r>
      <w:r>
        <w:rPr>
          <w:rFonts w:hint="eastAsia" w:ascii="宋体" w:hAnsi="宋体" w:cs="宋体"/>
          <w:bCs/>
          <w:color w:val="000000"/>
          <w:sz w:val="24"/>
          <w:highlight w:val="none"/>
        </w:rPr>
        <w:t xml:space="preserve">女士</w:t>
      </w:r>
      <w:r/>
    </w:p>
    <w:p>
      <w:pPr>
        <w:ind w:firstLine="480"/>
        <w:keepLines w:val="0"/>
        <w:keepNext w:val="0"/>
        <w:pageBreakBefore w:val="0"/>
        <w:spacing w:line="480" w:lineRule="exact"/>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19516520728</w:t>
      </w:r>
      <w:r/>
    </w:p>
    <w:p>
      <w:pPr>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7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jc w:val="both"/>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第二章  投标须知</w:t>
      </w:r>
      <w:r/>
    </w:p>
    <w:p>
      <w:pPr>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p>
    <w:tbl>
      <w:tblPr>
        <w:tblStyle w:val="877"/>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965" w:type="dxa"/>
            <w:vAlign w:val="center"/>
            <w:textDirection w:val="lrTb"/>
            <w:noWrap/>
          </w:tcPr>
          <w:p>
            <w:pPr>
              <w:ind w:firstLine="96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建湖县建筑装修垃圾收集站改建及县城中转对接站大修项目</w:t>
            </w:r>
            <w:r/>
          </w:p>
        </w:tc>
      </w:tr>
      <w:tr>
        <w:trPr>
          <w:trHeight w:val="605"/>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p>
        </w:tc>
        <w:tc>
          <w:tcPr>
            <w:gridSpan w:val="3"/>
            <w:tcW w:w="7965" w:type="dxa"/>
            <w:vAlign w:val="center"/>
            <w:textDirection w:val="lrTb"/>
            <w:noWrap/>
          </w:tcPr>
          <w:p>
            <w:pPr>
              <w:keepLines w:val="0"/>
              <w:keepNext w:val="0"/>
              <w:pageBreakBefore w:val="0"/>
              <w:spacing w:line="460" w:lineRule="exact"/>
              <w:widowControl/>
              <w:rPr>
                <w:rFonts w:ascii="宋体" w:hAnsi="宋体" w:cs="宋体"/>
                <w:color w:val="000000"/>
                <w:sz w:val="24"/>
                <w:highlight w:val="none"/>
                <w:lang w:val="en-US"/>
              </w:rPr>
            </w:pPr>
            <w:r>
              <w:rPr>
                <w:rFonts w:hint="eastAsia" w:ascii="宋体" w:hAnsi="宋体" w:cs="宋体"/>
                <w:color w:val="000000"/>
                <w:sz w:val="24"/>
                <w:highlight w:val="none"/>
                <w:lang w:eastAsia="zh-CN"/>
              </w:rPr>
              <w:t xml:space="preserve">建湖县环境卫生服务中心</w:t>
            </w:r>
            <w:r>
              <w:rPr>
                <w:rFonts w:hint="eastAsia" w:ascii="宋体" w:hAnsi="宋体" w:cs="宋体"/>
                <w:color w:val="000000"/>
                <w:sz w:val="24"/>
                <w:highlight w:val="none"/>
                <w:lang w:val="en-US" w:eastAsia="zh-CN"/>
              </w:rPr>
              <w:t xml:space="preserve">采购</w:t>
            </w:r>
            <w:r>
              <w:rPr>
                <w:rFonts w:hint="eastAsia" w:ascii="宋体" w:hAnsi="宋体" w:cs="Arial"/>
                <w:bCs/>
                <w:color w:val="000000"/>
                <w:sz w:val="24"/>
                <w:szCs w:val="20"/>
                <w:highlight w:val="none"/>
                <w:lang w:val="en-US" w:eastAsia="zh-CN" w:bidi="ar-SA"/>
              </w:rPr>
              <w:t xml:space="preserve">升降式建筑垃圾收集箱三套、钩臂式建筑垃圾收集箱三套、降尘设备三套，维修现有垃圾压缩设备的大推缸和整体提升油缸及附属设施建设</w:t>
            </w:r>
            <w:r>
              <w:rPr>
                <w:rFonts w:hint="eastAsia" w:ascii="宋体" w:hAnsi="宋体" w:eastAsia="宋体" w:cs="Arial"/>
                <w:bCs/>
                <w:color w:val="000000"/>
                <w:sz w:val="24"/>
                <w:szCs w:val="20"/>
                <w:highlight w:val="none"/>
                <w:lang w:val="en-US" w:eastAsia="zh-CN" w:bidi="ar-SA"/>
              </w:rPr>
              <w:t xml:space="preserve">，</w:t>
            </w:r>
            <w:r>
              <w:rPr>
                <w:rFonts w:hint="eastAsia" w:ascii="宋体" w:hAnsi="宋体" w:cs="宋体"/>
                <w:b w:val="0"/>
                <w:bCs w:val="0"/>
                <w:color w:val="000000"/>
                <w:sz w:val="24"/>
                <w:szCs w:val="24"/>
                <w:highlight w:val="none"/>
              </w:rPr>
              <w:t xml:space="preserve">包括产品的供货、运输（送达至采购人指定地点并卸货）、安装</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及售后服务等内容</w:t>
            </w:r>
            <w:r>
              <w:rPr>
                <w:rFonts w:hint="eastAsia" w:ascii="宋体" w:hAnsi="宋体" w:cs="宋体"/>
                <w:bCs/>
                <w:color w:val="000000"/>
                <w:sz w:val="24"/>
                <w:highlight w:val="none"/>
              </w:rPr>
              <w:t xml:space="preserve">，详见招标文件要求</w:t>
            </w:r>
            <w:r>
              <w:rPr>
                <w:rFonts w:hint="eastAsia" w:ascii="宋体" w:hAnsi="宋体"/>
                <w:color w:val="000000"/>
                <w:sz w:val="24"/>
                <w:highlight w:val="none"/>
              </w:rPr>
              <w:t xml:space="preserve">；</w:t>
            </w:r>
            <w:r/>
          </w:p>
        </w:tc>
      </w:tr>
      <w:tr>
        <w:trPr>
          <w:trHeight w:val="511"/>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965" w:type="dxa"/>
            <w:vAlign w:val="center"/>
            <w:textDirection w:val="lrTb"/>
            <w:noWrap/>
          </w:tcPr>
          <w:p>
            <w:pPr>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965" w:type="dxa"/>
            <w:vAlign w:val="center"/>
            <w:textDirection w:val="lrTb"/>
            <w:noWrap/>
          </w:tcPr>
          <w:p>
            <w:pPr>
              <w:jc w:val="center"/>
              <w:rPr>
                <w:rFonts w:ascii="宋体" w:hAnsi="宋体"/>
                <w:bCs/>
                <w:color w:val="000000"/>
                <w:sz w:val="24"/>
                <w:highlight w:val="none"/>
              </w:rPr>
            </w:pPr>
            <w:r>
              <w:rPr>
                <w:rFonts w:hint="eastAsia" w:ascii="宋体" w:hAnsi="宋体" w:cs="Arial"/>
                <w:bCs/>
                <w:color w:val="000000"/>
                <w:sz w:val="24"/>
                <w:highlight w:val="none"/>
                <w:lang w:val="en-US" w:eastAsia="zh-CN"/>
              </w:rPr>
              <w:t xml:space="preserve">一</w:t>
            </w:r>
            <w:r>
              <w:rPr>
                <w:rFonts w:hint="eastAsia" w:ascii="宋体" w:hAnsi="宋体" w:cs="Arial"/>
                <w:bCs/>
                <w:color w:val="000000"/>
                <w:sz w:val="24"/>
                <w:highlight w:val="none"/>
              </w:rPr>
              <w:t xml:space="preserve">个标段</w:t>
            </w:r>
            <w:r/>
          </w:p>
        </w:tc>
      </w:tr>
      <w:tr>
        <w:trPr>
          <w:trHeight w:val="624" w:hRule="exact"/>
        </w:trPr>
        <w:tc>
          <w:tcPr>
            <w:tcW w:w="2183"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2284" w:type="dxa"/>
            <w:vAlign w:val="center"/>
            <w:textDirection w:val="lrTb"/>
            <w:noWrap/>
          </w:tcPr>
          <w:p>
            <w:pPr>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张先生</w:t>
            </w:r>
            <w:r/>
          </w:p>
        </w:tc>
        <w:tc>
          <w:tcPr>
            <w:tcW w:w="1624"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4057" w:type="dxa"/>
            <w:vAlign w:val="center"/>
            <w:textDirection w:val="lrTb"/>
            <w:noWrap/>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13921853026</w:t>
            </w:r>
            <w:r/>
          </w:p>
        </w:tc>
      </w:tr>
      <w:tr>
        <w:trPr>
          <w:trHeight w:val="624" w:hRule="exact"/>
        </w:trPr>
        <w:tc>
          <w:tcPr>
            <w:tcW w:w="2183"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2284"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lang w:eastAsia="zh-CN"/>
              </w:rPr>
              <w:t xml:space="preserve">陆女士</w:t>
            </w:r>
            <w:r/>
          </w:p>
        </w:tc>
        <w:tc>
          <w:tcPr>
            <w:tcW w:w="1624"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4057" w:type="dxa"/>
            <w:vAlign w:val="center"/>
            <w:textDirection w:val="lrTb"/>
            <w:noWrap/>
          </w:tcPr>
          <w:p>
            <w:pPr>
              <w:jc w:val="center"/>
              <w:spacing w:line="320" w:lineRule="exact"/>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eastAsia="zh-CN"/>
              </w:rPr>
              <w:t xml:space="preserve">19516520728</w:t>
            </w:r>
            <w:r/>
          </w:p>
        </w:tc>
      </w:tr>
      <w:tr>
        <w:trPr>
          <w:trHeight w:val="893" w:hRule="exact"/>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965" w:type="dxa"/>
            <w:vAlign w:val="center"/>
            <w:textDirection w:val="lrTb"/>
            <w:noWrap/>
          </w:tcPr>
          <w:p>
            <w:pPr>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olor w:val="000000"/>
                <w:sz w:val="24"/>
                <w:highlight w:val="none"/>
              </w:rPr>
              <w:t xml:space="preserve">于</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lang w:val="en-US" w:eastAsia="zh-CN"/>
              </w:rPr>
              <w:t xml:space="preserve">供货期</w:t>
            </w:r>
            <w:r/>
          </w:p>
        </w:tc>
        <w:tc>
          <w:tcPr>
            <w:gridSpan w:val="3"/>
            <w:tcW w:w="7965" w:type="dxa"/>
            <w:vAlign w:val="center"/>
            <w:textDirection w:val="lrTb"/>
            <w:noWrap/>
          </w:tcPr>
          <w:p>
            <w:pPr>
              <w:jc w:val="center"/>
              <w:spacing w:line="480" w:lineRule="exact"/>
              <w:shd w:val="clear" w:color="auto" w:fill="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t xml:space="preserve">合同签订后</w:t>
            </w:r>
            <w:r>
              <w:rPr>
                <w:rFonts w:hint="eastAsia" w:ascii="宋体" w:hAnsi="宋体" w:cs="Arial"/>
                <w:color w:val="000000"/>
                <w:sz w:val="24"/>
                <w:highlight w:val="none"/>
                <w:u w:val="single"/>
                <w:lang w:val="en-US" w:eastAsia="zh-CN"/>
              </w:rPr>
              <w:t xml:space="preserve">60</w:t>
            </w:r>
            <w:r>
              <w:rPr>
                <w:rFonts w:ascii="宋体" w:hAnsi="宋体" w:eastAsia="宋体" w:cs="Arial"/>
                <w:color w:val="000000"/>
                <w:sz w:val="24"/>
                <w:highlight w:val="none"/>
                <w:lang w:val="en-US" w:eastAsia="zh-CN"/>
              </w:rPr>
              <w:t xml:space="preserve">天内供货到指定地点安装、调试、验收等并交付采购人使用；</w:t>
            </w:r>
            <w:r/>
          </w:p>
        </w:tc>
      </w:tr>
      <w:tr>
        <w:trPr>
          <w:trHeight w:val="732"/>
        </w:trPr>
        <w:tc>
          <w:tcPr>
            <w:tcW w:w="2183" w:type="dxa"/>
            <w:vAlign w:val="center"/>
            <w:textDirection w:val="lrTb"/>
            <w:noWrap/>
          </w:tcPr>
          <w:p>
            <w:pPr>
              <w:jc w:val="center"/>
              <w:spacing w:line="480" w:lineRule="exact"/>
              <w:rPr>
                <w:rFonts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质保期</w:t>
            </w:r>
            <w:r/>
          </w:p>
        </w:tc>
        <w:tc>
          <w:tcPr>
            <w:gridSpan w:val="3"/>
            <w:tcW w:w="7965" w:type="dxa"/>
            <w:vAlign w:val="center"/>
            <w:textDirection w:val="lrTb"/>
            <w:noWrap/>
          </w:tcPr>
          <w:p>
            <w:pPr>
              <w:jc w:val="center"/>
              <w:spacing w:line="480" w:lineRule="exact"/>
              <w:shd w:val="clear" w:color="auto" w:fill="auto"/>
              <w:widowControl/>
              <w:rPr>
                <w:rFonts w:hint="eastAsia" w:ascii="宋体" w:hAnsi="宋体" w:cs="宋体"/>
                <w:color w:val="000000"/>
                <w:sz w:val="24"/>
                <w:szCs w:val="24"/>
                <w:highlight w:val="none"/>
                <w:lang w:val="en-US" w:eastAsia="zh-CN"/>
              </w:rPr>
            </w:pP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lang w:val="en-US" w:eastAsia="zh-CN"/>
              </w:rPr>
              <w:t xml:space="preserve">年</w:t>
            </w:r>
            <w:r/>
          </w:p>
        </w:tc>
      </w:tr>
      <w:tr>
        <w:trPr>
          <w:trHeight w:val="607" w:hRule="exact"/>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965" w:type="dxa"/>
            <w:vAlign w:val="center"/>
            <w:textDirection w:val="lrTb"/>
            <w:noWrap/>
          </w:tcPr>
          <w:p>
            <w:pPr>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p>
        </w:tc>
        <w:tc>
          <w:tcPr>
            <w:gridSpan w:val="3"/>
            <w:tcW w:w="7965" w:type="dxa"/>
            <w:vAlign w:val="center"/>
            <w:textDirection w:val="lrTb"/>
            <w:noWrap/>
          </w:tcPr>
          <w:p>
            <w:pPr>
              <w:jc w:val="center"/>
              <w:spacing w:line="300" w:lineRule="exact"/>
              <w:rPr>
                <w:rFonts w:hint="eastAsia" w:ascii="宋体" w:hAnsi="宋体" w:eastAsia="宋体"/>
                <w:bCs/>
                <w:color w:val="000000"/>
                <w:szCs w:val="21"/>
                <w:highlight w:val="none"/>
                <w:lang w:eastAsia="zh-CN"/>
              </w:rPr>
            </w:pPr>
            <w:r>
              <w:rPr>
                <w:rFonts w:hint="eastAsia" w:ascii="宋体" w:hAnsi="宋体" w:cs="宋体"/>
                <w:b/>
                <w:bCs/>
                <w:color w:val="000000"/>
                <w:sz w:val="24"/>
                <w:highlight w:val="none"/>
              </w:rPr>
              <w:t xml:space="preserve">时间</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eastAsia="zh-CN"/>
              </w:rPr>
              <w:t xml:space="preserve">2025年11月24日</w:t>
            </w:r>
            <w:r>
              <w:rPr>
                <w:rFonts w:hint="eastAsia" w:ascii="宋体" w:hAnsi="宋体" w:cs="Times New Roman"/>
                <w:b/>
                <w:bCs/>
                <w:color w:val="000000"/>
                <w:sz w:val="24"/>
                <w:highlight w:val="none"/>
                <w:lang w:val="en-US" w:eastAsia="zh-CN"/>
              </w:rPr>
              <w:t xml:space="preserve">15</w:t>
            </w:r>
            <w:r>
              <w:rPr>
                <w:rFonts w:hint="eastAsia" w:ascii="宋体" w:hAnsi="宋体" w:eastAsia="宋体" w:cs="Times New Roman"/>
                <w:b/>
                <w:bCs/>
                <w:color w:val="000000"/>
                <w:sz w:val="24"/>
                <w:highlight w:val="none"/>
                <w:lang w:eastAsia="zh-CN"/>
              </w:rPr>
              <w:t xml:space="preserve">时00分</w:t>
            </w:r>
            <w:r/>
          </w:p>
        </w:tc>
      </w:tr>
      <w:tr>
        <w:trPr>
          <w:trHeight w:val="925"/>
        </w:trPr>
        <w:tc>
          <w:tcPr>
            <w:tcW w:w="2183" w:type="dxa"/>
            <w:vAlign w:val="center"/>
            <w:textDirection w:val="lrTb"/>
            <w:noWrap/>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965" w:type="dxa"/>
            <w:vAlign w:val="center"/>
            <w:textDirection w:val="lrTb"/>
            <w:noWrap/>
          </w:tcPr>
          <w:p>
            <w:pPr>
              <w:jc w:val="center"/>
              <w:spacing w:line="400" w:lineRule="exact"/>
              <w:rPr>
                <w:rFonts w:ascii="宋体" w:hAnsi="宋体"/>
                <w:b/>
                <w:bCs/>
                <w:color w:val="000000"/>
                <w:sz w:val="24"/>
                <w:highlight w:val="none"/>
                <w:u w:val="single"/>
                <w:lang w:val="en-US"/>
              </w:rPr>
            </w:pPr>
            <w:r>
              <w:rPr>
                <w:rFonts w:hint="eastAsia" w:ascii="宋体" w:hAnsi="宋体" w:cs="宋体"/>
                <w:b/>
                <w:bCs/>
                <w:color w:val="000000"/>
                <w:sz w:val="24"/>
                <w:highlight w:val="none"/>
              </w:rPr>
              <w:t xml:space="preserve">时间</w:t>
            </w:r>
            <w:r>
              <w:rPr>
                <w:rFonts w:hint="eastAsia" w:ascii="宋体" w:hAnsi="宋体" w:cs="宋体"/>
                <w:b/>
                <w:bCs/>
                <w:color w:val="000000"/>
                <w:sz w:val="24"/>
                <w:highlight w:val="none"/>
                <w:lang w:eastAsia="zh-CN"/>
              </w:rPr>
              <w:t xml:space="preserve">:2025年11月24日</w:t>
            </w:r>
            <w:r>
              <w:rPr>
                <w:rFonts w:hint="eastAsia" w:ascii="宋体" w:hAnsi="宋体" w:cs="Times New Roman"/>
                <w:b/>
                <w:bCs/>
                <w:color w:val="000000"/>
                <w:sz w:val="24"/>
                <w:highlight w:val="none"/>
                <w:lang w:val="en-US" w:eastAsia="zh-CN"/>
              </w:rPr>
              <w:t xml:space="preserve">15</w:t>
            </w:r>
            <w:r>
              <w:rPr>
                <w:rFonts w:hint="eastAsia" w:ascii="宋体" w:hAnsi="宋体" w:eastAsia="宋体" w:cs="Times New Roman"/>
                <w:b/>
                <w:bCs/>
                <w:color w:val="000000"/>
                <w:sz w:val="24"/>
                <w:highlight w:val="none"/>
                <w:lang w:eastAsia="zh-CN"/>
              </w:rPr>
              <w:t xml:space="preserve">时00分</w:t>
            </w:r>
            <w:r>
              <w:rPr>
                <w:rFonts w:hint="eastAsia" w:ascii="宋体" w:hAnsi="宋体" w:eastAsia="宋体" w:cs="Times New Roman"/>
                <w:b/>
                <w:bCs/>
                <w:color w:val="0000ff"/>
                <w:sz w:val="24"/>
                <w:highlight w:val="none"/>
                <w:lang w:val="en-US" w:eastAsia="zh-CN"/>
              </w:rPr>
              <w:t xml:space="preserve"> </w:t>
            </w:r>
            <w:r/>
          </w:p>
          <w:p>
            <w:pPr>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965" w:type="dxa"/>
            <w:vAlign w:val="center"/>
            <w:textDirection w:val="lrTb"/>
            <w:noWrap/>
          </w:tcPr>
          <w:p>
            <w:pPr>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永道工程咨询（江苏）有限公司</w:t>
            </w:r>
            <w:r>
              <w:rPr>
                <w:rFonts w:ascii="宋体" w:hAnsi="宋体"/>
                <w:b/>
                <w:bCs/>
                <w:color w:val="000000"/>
                <w:sz w:val="24"/>
                <w:szCs w:val="24"/>
                <w:highlight w:val="none"/>
              </w:rPr>
              <w:t xml:space="preserve">，未中标单位不需要提供）。</w:t>
            </w:r>
            <w:r/>
          </w:p>
        </w:tc>
      </w:tr>
      <w:tr>
        <w:trPr>
          <w:trHeight w:val="600"/>
        </w:trPr>
        <w:tc>
          <w:tcPr>
            <w:tcW w:w="2183" w:type="dxa"/>
            <w:vAlign w:val="center"/>
            <w:textDirection w:val="lrTb"/>
            <w:noWrap/>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965" w:type="dxa"/>
            <w:vAlign w:val="center"/>
            <w:textDirection w:val="lrTb"/>
            <w:noWrap/>
          </w:tcPr>
          <w:p>
            <w:pPr>
              <w:ind w:firstLine="480"/>
              <w:jc w:val="left"/>
              <w:keepLines w:val="0"/>
              <w:keepNext w:val="0"/>
              <w:pageBreakBefore w:val="0"/>
              <w:spacing w:line="460" w:lineRule="exact"/>
              <w:widowControl/>
              <w:rPr>
                <w:rFonts w:ascii="宋体" w:hAnsi="宋体"/>
                <w:b/>
                <w:bCs/>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总</w:t>
            </w:r>
            <w:r>
              <w:rPr>
                <w:rFonts w:hint="eastAsia" w:ascii="宋体" w:hAnsi="宋体" w:cs="宋体"/>
                <w:color w:val="000000"/>
                <w:sz w:val="24"/>
                <w:highlight w:val="none"/>
              </w:rPr>
              <w:t xml:space="preserve">预算价为</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228.9万元</w:t>
            </w:r>
            <w:r>
              <w:rPr>
                <w:rFonts w:hint="eastAsia" w:ascii="宋体" w:hAnsi="宋体" w:cs="Arial"/>
                <w:bCs/>
                <w:color w:val="000000"/>
                <w:sz w:val="24"/>
                <w:highlight w:val="none"/>
              </w:rPr>
              <w:t xml:space="preserve">；</w:t>
            </w:r>
            <w:r/>
          </w:p>
        </w:tc>
      </w:tr>
      <w:tr>
        <w:trPr>
          <w:trHeight w:val="600"/>
        </w:trPr>
        <w:tc>
          <w:tcPr>
            <w:tcW w:w="2183" w:type="dxa"/>
            <w:vAlign w:val="center"/>
            <w:textDirection w:val="lrTb"/>
            <w:noWrap/>
          </w:tcPr>
          <w:p>
            <w:pPr>
              <w:jc w:val="center"/>
              <w:spacing w:line="300" w:lineRule="exact"/>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最高限价</w:t>
            </w:r>
            <w:r/>
          </w:p>
        </w:tc>
        <w:tc>
          <w:tcPr>
            <w:gridSpan w:val="3"/>
            <w:tcW w:w="7965" w:type="dxa"/>
            <w:vAlign w:val="center"/>
            <w:textDirection w:val="lrTb"/>
            <w:noWrap/>
          </w:tcPr>
          <w:p>
            <w:pPr>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228.9万元</w:t>
            </w:r>
            <w:r>
              <w:rPr>
                <w:rFonts w:hint="eastAsia" w:ascii="宋体" w:hAnsi="宋体" w:cs="宋体"/>
                <w:color w:val="000000" w:themeColor="text1"/>
                <w:sz w:val="24"/>
                <w:highlight w:val="none"/>
                <w:shd w:val="clear" w:color="auto" w:fill="ffffff"/>
                <w14:textFill>
                  <w14:solidFill>
                    <w14:schemeClr w14:val="tx1"/>
                  </w14:solidFill>
                </w14:textFill>
              </w:rPr>
              <w:t xml:space="preserve">，投标报价高于该限价的作无效标处理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p>
        </w:tc>
      </w:tr>
      <w:tr>
        <w:trPr>
          <w:trHeight w:val="586"/>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965" w:type="dxa"/>
            <w:vAlign w:val="center"/>
            <w:textDirection w:val="lrTb"/>
            <w:noWrap/>
          </w:tcPr>
          <w:p>
            <w:pPr>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965" w:type="dxa"/>
            <w:vAlign w:val="center"/>
            <w:textDirection w:val="lrTb"/>
            <w:noWrap/>
          </w:tcPr>
          <w:p>
            <w:pPr>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p>
        </w:tc>
      </w:tr>
      <w:tr>
        <w:trPr>
          <w:trHeight w:val="1353"/>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965" w:type="dxa"/>
            <w:vAlign w:val="center"/>
            <w:textDirection w:val="lrTb"/>
            <w:noWrap/>
          </w:tcPr>
          <w:p>
            <w:pPr>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建湖县环境卫生服务中心</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永道工程咨询（江苏）有限公司</w:t>
            </w:r>
            <w:r/>
          </w:p>
          <w:p>
            <w:pPr>
              <w:spacing w:line="400" w:lineRule="exact"/>
              <w:rPr>
                <w:rFonts w:hint="eastAsia" w:ascii="宋体" w:hAnsi="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cs="Arial"/>
                <w:color w:val="000000"/>
                <w:sz w:val="24"/>
                <w:szCs w:val="22"/>
                <w:highlight w:val="none"/>
                <w:lang w:val="en-US" w:eastAsia="zh-CN"/>
              </w:rPr>
              <w:t xml:space="preserve">13921853026</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19516520728</w:t>
            </w:r>
            <w:bookmarkStart w:id="6" w:name="_GoBack"/>
            <w:r/>
            <w:bookmarkEnd w:id="6"/>
            <w:r/>
            <w:r/>
          </w:p>
          <w:p>
            <w:pPr>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建湖县安康路南首</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建湖县书香苑1幢112号</w:t>
            </w:r>
            <w:r/>
          </w:p>
        </w:tc>
      </w:tr>
      <w:tr>
        <w:trPr>
          <w:trHeight w:val="1017"/>
        </w:trPr>
        <w:tc>
          <w:tcPr>
            <w:tcW w:w="2183" w:type="dxa"/>
            <w:vAlign w:val="center"/>
            <w:textDirection w:val="lrTb"/>
            <w:noWrap/>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965" w:type="dxa"/>
            <w:vAlign w:val="center"/>
            <w:textDirection w:val="lrTb"/>
            <w:noWrap/>
          </w:tcPr>
          <w:p>
            <w:pPr>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p>
        </w:tc>
      </w:tr>
      <w:tr>
        <w:trPr>
          <w:trHeight w:val="667"/>
        </w:trPr>
        <w:tc>
          <w:tcPr>
            <w:tcW w:w="2183" w:type="dxa"/>
            <w:vAlign w:val="center"/>
            <w:textDirection w:val="lrTb"/>
            <w:noWrap/>
          </w:tcPr>
          <w:p>
            <w:pPr>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965" w:type="dxa"/>
            <w:vAlign w:val="center"/>
            <w:textDirection w:val="lrTb"/>
            <w:noWrap/>
          </w:tcPr>
          <w:p>
            <w:pPr>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p>
        </w:tc>
      </w:tr>
      <w:tr>
        <w:trPr>
          <w:trHeight w:val="750"/>
        </w:trPr>
        <w:tc>
          <w:tcPr>
            <w:tcW w:w="2183" w:type="dxa"/>
            <w:vAlign w:val="center"/>
            <w:textDirection w:val="lrTb"/>
            <w:noWrap/>
          </w:tcPr>
          <w:p>
            <w:pPr>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965" w:type="dxa"/>
            <w:vAlign w:val="center"/>
            <w:textDirection w:val="lrTb"/>
            <w:noWrap/>
          </w:tcPr>
          <w:p>
            <w:pPr>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p>
        </w:tc>
      </w:tr>
    </w:tbl>
    <w:p>
      <w:pPr>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p>
    <w:p>
      <w:pPr>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p>
    <w:p>
      <w:pPr>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p>
    <w:p>
      <w:pPr>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p>
    <w:p>
      <w:pPr>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p>
    <w:p>
      <w:pPr>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p>
    <w:p>
      <w:pPr>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p>
    <w:p>
      <w:pPr>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p>
    <w:p>
      <w:pPr>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宋体"/>
          <w:b/>
          <w:color w:val="000000"/>
          <w:sz w:val="24"/>
          <w:highlight w:val="none"/>
          <w:lang w:val="en-US" w:eastAsia="zh-CN"/>
        </w:rPr>
        <w:t xml:space="preserve">详见招标公告</w:t>
      </w:r>
      <w:r/>
    </w:p>
    <w:p>
      <w:pPr>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p>
    <w:p>
      <w:pPr>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p>
    <w:p>
      <w:pPr>
        <w:pStyle w:val="1055"/>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w:t>
      </w:r>
      <w:r>
        <w:rPr>
          <w:rFonts w:hint="eastAsia" w:ascii="宋体" w:hAnsi="宋体" w:eastAsia="宋体" w:cs="Times New Roman"/>
          <w:b w:val="0"/>
          <w:bCs w:val="0"/>
          <w:color w:val="000000"/>
          <w:sz w:val="24"/>
          <w:highlight w:val="none"/>
          <w:lang w:val="en-US" w:eastAsia="zh-CN"/>
        </w:rPr>
        <w:t xml:space="preserve">2025年</w:t>
      </w:r>
      <w:r>
        <w:rPr>
          <w:rFonts w:hint="eastAsia" w:ascii="宋体" w:hAnsi="宋体" w:cs="Times New Roman"/>
          <w:b w:val="0"/>
          <w:bCs w:val="0"/>
          <w:color w:val="000000"/>
          <w:sz w:val="24"/>
          <w:highlight w:val="none"/>
          <w:lang w:val="en-US" w:eastAsia="zh-CN"/>
        </w:rPr>
        <w:t xml:space="preserve"> 11</w:t>
      </w:r>
      <w:r>
        <w:rPr>
          <w:rFonts w:hint="eastAsia" w:ascii="宋体" w:hAnsi="宋体" w:eastAsia="宋体" w:cs="Times New Roman"/>
          <w:b w:val="0"/>
          <w:bCs w:val="0"/>
          <w:color w:val="000000"/>
          <w:sz w:val="24"/>
          <w:highlight w:val="none"/>
          <w:lang w:val="en-US" w:eastAsia="zh-CN"/>
        </w:rPr>
        <w:t xml:space="preserve">月</w:t>
      </w:r>
      <w:r>
        <w:rPr>
          <w:rFonts w:hint="eastAsia" w:ascii="宋体" w:hAnsi="宋体" w:cs="Times New Roman"/>
          <w:b w:val="0"/>
          <w:bCs w:val="0"/>
          <w:color w:val="000000"/>
          <w:sz w:val="24"/>
          <w:highlight w:val="none"/>
          <w:lang w:val="en-US" w:eastAsia="zh-CN"/>
        </w:rPr>
        <w:t xml:space="preserve">19</w:t>
      </w:r>
      <w:r>
        <w:rPr>
          <w:rFonts w:hint="eastAsia" w:ascii="宋体" w:hAnsi="宋体" w:eastAsia="宋体" w:cs="Times New Roman"/>
          <w:b w:val="0"/>
          <w:bCs w:val="0"/>
          <w:color w:val="000000"/>
          <w:sz w:val="24"/>
          <w:highlight w:val="none"/>
          <w:lang w:val="en-US" w:eastAsia="zh-CN"/>
        </w:rPr>
        <w:t xml:space="preserve">日17:00前</w:t>
      </w:r>
      <w:r>
        <w:rPr>
          <w:rFonts w:hint="eastAsia" w:ascii="宋体" w:hAnsi="宋体" w:eastAsia="宋体" w:cs="宋体"/>
          <w:color w:val="000000"/>
          <w:sz w:val="24"/>
          <w:szCs w:val="24"/>
          <w:highlight w:val="none"/>
          <w:lang w:val="en-US" w:eastAsia="zh-CN" w:bidi="ar-SA"/>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p>
    <w:p>
      <w:pPr>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p>
    <w:p>
      <w:pPr>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p>
    <w:p>
      <w:pPr>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p>
    <w:p>
      <w:pPr>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color w:val="000000"/>
          <w:sz w:val="24"/>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p>
    <w:p>
      <w:pPr>
        <w:pStyle w:val="1055"/>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p>
    <w:p>
      <w:pPr>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p>
    <w:p>
      <w:pPr>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jc w:val="left"/>
        <w:keepLines w:val="0"/>
        <w:keepNext w:val="0"/>
        <w:pageBreakBefore w:val="0"/>
        <w:spacing w:line="460" w:lineRule="exact"/>
        <w:widowControl/>
        <w:rPr>
          <w:rFonts w:hint="eastAsia" w:ascii="宋体" w:hAnsi="宋体" w:cs="Arial"/>
          <w:bCs/>
          <w:color w:val="000000"/>
          <w:sz w:val="24"/>
          <w:highlight w:val="none"/>
        </w:rPr>
      </w:pPr>
      <w:r>
        <w:rPr>
          <w:rFonts w:hint="eastAsia" w:ascii="宋体" w:hAnsi="宋体" w:eastAsia="宋体" w:cs="Times New Roman"/>
          <w:b/>
          <w:bCs/>
          <w:color w:val="000000"/>
          <w:sz w:val="24"/>
          <w:highlight w:val="none"/>
        </w:rPr>
        <w:t xml:space="preserve">8.2预算金额：</w:t>
      </w: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总</w:t>
      </w:r>
      <w:r>
        <w:rPr>
          <w:rFonts w:hint="eastAsia" w:ascii="宋体" w:hAnsi="宋体" w:cs="宋体"/>
          <w:color w:val="000000"/>
          <w:sz w:val="24"/>
          <w:highlight w:val="none"/>
        </w:rPr>
        <w:t xml:space="preserve">预算价为</w:t>
      </w:r>
      <w:r>
        <w:rPr>
          <w:rFonts w:hint="eastAsia" w:ascii="宋体" w:hAnsi="宋体" w:cs="宋体"/>
          <w:color w:val="000000"/>
          <w:sz w:val="24"/>
          <w:highlight w:val="none"/>
          <w:lang w:val="en-US" w:eastAsia="zh-CN"/>
        </w:rPr>
        <w:t xml:space="preserve">228.9万元</w:t>
      </w:r>
      <w:r>
        <w:rPr>
          <w:rFonts w:hint="eastAsia" w:ascii="宋体" w:hAnsi="宋体" w:cs="Arial"/>
          <w:bCs/>
          <w:color w:val="000000"/>
          <w:sz w:val="24"/>
          <w:highlight w:val="none"/>
        </w:rPr>
        <w:t xml:space="preserve">；</w:t>
      </w:r>
      <w:r/>
    </w:p>
    <w:p>
      <w:pPr>
        <w:ind w:firstLine="482"/>
        <w:jc w:val="left"/>
        <w:keepLines w:val="0"/>
        <w:keepNext w:val="0"/>
        <w:pageBreakBefore w:val="0"/>
        <w:spacing w:line="460" w:lineRule="exact"/>
        <w:widowControl/>
        <w:rPr>
          <w:rFonts w:hint="eastAsia" w:ascii="宋体" w:hAnsi="宋体" w:eastAsia="宋体" w:cs="Times New Roman"/>
          <w:b/>
          <w:bCs/>
          <w:color w:val="000000"/>
          <w:sz w:val="24"/>
          <w:highlight w:val="none"/>
        </w:rPr>
      </w:pPr>
      <w:r>
        <w:rPr>
          <w:rFonts w:hint="eastAsia"/>
          <w:b/>
          <w:bCs/>
          <w:color w:val="000000"/>
          <w:sz w:val="24"/>
          <w:szCs w:val="22"/>
          <w:highlight w:val="none"/>
        </w:rPr>
        <w:t xml:space="preserve">最高限价（如有）：</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228.9万元</w:t>
      </w:r>
      <w:r>
        <w:rPr>
          <w:rFonts w:hint="eastAsia" w:ascii="宋体" w:hAnsi="宋体" w:cs="宋体"/>
          <w:color w:val="000000" w:themeColor="text1"/>
          <w:sz w:val="24"/>
          <w:highlight w:val="none"/>
          <w:shd w:val="clear" w:color="auto" w:fill="ffffff"/>
          <w14:textFill>
            <w14:solidFill>
              <w14:schemeClr w14:val="tx1"/>
            </w14:solidFill>
          </w14:textFill>
        </w:rPr>
        <w:t xml:space="preserve">，投标报价高于该限价的作无效标处理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p>
    <w:p>
      <w:pPr>
        <w:ind w:firstLine="460"/>
        <w:spacing w:line="48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8.3 投标报价</w:t>
      </w:r>
      <w:r/>
    </w:p>
    <w:p>
      <w:pPr>
        <w:ind w:firstLine="460"/>
        <w:keepLines w:val="0"/>
        <w:keepNext w:val="0"/>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bidi="ar-SA"/>
        </w:rPr>
        <w:t xml:space="preserve">8.3.1</w:t>
      </w:r>
      <w:r>
        <w:rPr>
          <w:rFonts w:hint="eastAsia" w:ascii="宋体" w:hAnsi="宋体"/>
          <w:bCs/>
          <w:color w:val="000000"/>
          <w:sz w:val="24"/>
          <w:highlight w:val="none"/>
        </w:rPr>
        <w:t xml:space="preserve">报价应包含以下内容：</w:t>
      </w:r>
      <w:r>
        <w:rPr>
          <w:rFonts w:hint="eastAsia"/>
          <w:color w:val="000000"/>
          <w:sz w:val="24"/>
          <w:highlight w:val="none"/>
        </w:rPr>
        <w:t xml:space="preserve">投标报价是</w:t>
      </w:r>
      <w:r>
        <w:rPr>
          <w:rFonts w:hint="eastAsia" w:ascii="宋体" w:hAnsi="宋体" w:cs="宋体"/>
          <w:color w:val="000000"/>
          <w:spacing w:val="-2"/>
          <w:sz w:val="24"/>
          <w:highlight w:val="none"/>
        </w:rPr>
        <w:t xml:space="preserve">所有</w:t>
      </w:r>
      <w:r>
        <w:rPr>
          <w:rFonts w:hint="eastAsia" w:ascii="宋体" w:hAnsi="宋体" w:cs="宋体"/>
          <w:color w:val="000000"/>
          <w:spacing w:val="-2"/>
          <w:sz w:val="24"/>
          <w:highlight w:val="none"/>
          <w:lang w:eastAsia="zh-CN"/>
        </w:rPr>
        <w:t xml:space="preserve">货物</w:t>
      </w:r>
      <w:r>
        <w:rPr>
          <w:rFonts w:hint="eastAsia" w:ascii="宋体" w:hAnsi="宋体" w:cs="宋体"/>
          <w:color w:val="000000"/>
          <w:spacing w:val="-2"/>
          <w:sz w:val="24"/>
          <w:highlight w:val="none"/>
        </w:rPr>
        <w:t xml:space="preserve">运至甲方指定地点所发生的一切费用的综合报价</w:t>
      </w:r>
      <w:r>
        <w:rPr>
          <w:rFonts w:hint="eastAsia" w:ascii="宋体" w:hAnsi="宋体" w:cs="宋体"/>
          <w:color w:val="000000"/>
          <w:spacing w:val="-2"/>
          <w:sz w:val="24"/>
          <w:highlight w:val="none"/>
          <w:lang w:eastAsia="zh-CN"/>
        </w:rPr>
        <w:t xml:space="preserve">，</w:t>
      </w:r>
      <w:r>
        <w:rPr>
          <w:rFonts w:hint="eastAsia" w:ascii="宋体" w:hAnsi="宋体" w:cs="宋体"/>
          <w:color w:val="000000"/>
          <w:spacing w:val="-2"/>
          <w:sz w:val="24"/>
          <w:highlight w:val="none"/>
          <w:lang w:val="en-US" w:eastAsia="zh-CN"/>
        </w:rPr>
        <w:t xml:space="preserve">包括但不限于</w:t>
      </w:r>
      <w:r>
        <w:rPr>
          <w:rFonts w:hint="eastAsia" w:ascii="宋体" w:hAnsi="宋体" w:cs="宋体"/>
          <w:color w:val="000000"/>
          <w:spacing w:val="-2"/>
          <w:sz w:val="24"/>
          <w:highlight w:val="none"/>
        </w:rPr>
        <w:t xml:space="preserve">正式有效税务发票、运输、税金、人力费、安装、调试、检验、验收、</w:t>
      </w:r>
      <w:r>
        <w:rPr>
          <w:rFonts w:hint="eastAsia" w:ascii="宋体" w:hAnsi="宋体" w:cs="宋体"/>
          <w:color w:val="000000"/>
          <w:spacing w:val="-2"/>
          <w:sz w:val="24"/>
          <w:highlight w:val="none"/>
          <w:lang w:eastAsia="zh-CN"/>
        </w:rPr>
        <w:t xml:space="preserve">售后维护</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备品备件、</w:t>
      </w:r>
      <w:r>
        <w:rPr>
          <w:rFonts w:hint="eastAsia" w:ascii="宋体" w:hAnsi="宋体" w:cs="宋体"/>
          <w:color w:val="000000"/>
          <w:spacing w:val="-2"/>
          <w:sz w:val="24"/>
          <w:highlight w:val="none"/>
        </w:rPr>
        <w:t xml:space="preserve">培训</w:t>
      </w:r>
      <w:r>
        <w:rPr>
          <w:rFonts w:hint="eastAsia" w:ascii="宋体" w:hAnsi="宋体" w:cs="宋体"/>
          <w:color w:val="000000"/>
          <w:sz w:val="24"/>
          <w:highlight w:val="none"/>
          <w:lang w:val="en-US" w:eastAsia="zh-CN"/>
        </w:rPr>
        <w:t xml:space="preserve">，</w:t>
      </w:r>
      <w:r>
        <w:rPr>
          <w:rFonts w:hint="eastAsia" w:ascii="宋体" w:hAnsi="宋体"/>
          <w:color w:val="000000"/>
          <w:sz w:val="24"/>
          <w:highlight w:val="none"/>
        </w:rPr>
        <w:t xml:space="preserve">等交付使用前一切费用</w:t>
      </w:r>
      <w:r>
        <w:rPr>
          <w:rFonts w:hint="eastAsia" w:ascii="宋体" w:hAnsi="宋体"/>
          <w:bCs/>
          <w:color w:val="000000"/>
          <w:sz w:val="24"/>
          <w:highlight w:val="none"/>
        </w:rPr>
        <w:t xml:space="preserve">、</w:t>
      </w:r>
      <w:r>
        <w:rPr>
          <w:rFonts w:hint="eastAsia" w:ascii="宋体" w:hAnsi="宋体" w:cs="宋体"/>
          <w:color w:val="000000"/>
          <w:spacing w:val="-2"/>
          <w:sz w:val="24"/>
          <w:highlight w:val="none"/>
        </w:rPr>
        <w:t xml:space="preserve">招标代理费、不可预见费及其它相关费用等，对投标人认为没有考虑到的费用项目</w:t>
      </w:r>
      <w:r>
        <w:rPr>
          <w:rFonts w:hint="eastAsia" w:ascii="宋体" w:hAnsi="宋体" w:cs="宋体"/>
          <w:color w:val="000000"/>
          <w:spacing w:val="-2"/>
          <w:sz w:val="24"/>
          <w:highlight w:val="none"/>
          <w:lang w:eastAsia="zh-CN"/>
        </w:rPr>
        <w:t xml:space="preserve">采购单位</w:t>
      </w:r>
      <w:r>
        <w:rPr>
          <w:rFonts w:hint="eastAsia" w:ascii="宋体" w:hAnsi="宋体" w:cs="宋体"/>
          <w:color w:val="000000"/>
          <w:spacing w:val="-2"/>
          <w:sz w:val="24"/>
          <w:highlight w:val="none"/>
        </w:rPr>
        <w:t xml:space="preserve">将不予支付，并认为此项费用已包含在投标报价中</w:t>
      </w:r>
      <w:r>
        <w:rPr>
          <w:rFonts w:hint="eastAsia" w:ascii="宋体" w:hAnsi="宋体"/>
          <w:color w:val="000000"/>
          <w:sz w:val="24"/>
          <w:szCs w:val="20"/>
          <w:highlight w:val="none"/>
        </w:rPr>
        <w:t xml:space="preserve">。</w:t>
      </w:r>
      <w:r/>
    </w:p>
    <w:p>
      <w:pPr>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 开标一览表、投标价格表的报价一律用人民币（单位：元）填报。</w:t>
      </w:r>
      <w:r/>
    </w:p>
    <w:p>
      <w:pPr>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 </w:t>
      </w:r>
      <w:r>
        <w:rPr>
          <w:rFonts w:hint="eastAsia" w:ascii="宋体" w:hAnsi="宋体" w:eastAsia="宋体" w:cs="Times New Roman"/>
          <w:b/>
          <w:bCs w:val="0"/>
          <w:color w:val="000000"/>
          <w:sz w:val="24"/>
          <w:highlight w:val="none"/>
        </w:rPr>
        <w:t xml:space="preserve">招标代理服务费：</w:t>
      </w:r>
      <w:r>
        <w:rPr>
          <w:rFonts w:hint="eastAsia" w:ascii="宋体" w:hAnsi="宋体" w:eastAsia="宋体" w:cs="Times New Roman"/>
          <w:bCs/>
          <w:color w:val="000000"/>
          <w:sz w:val="24"/>
          <w:highlight w:val="none"/>
        </w:rPr>
        <w:t xml:space="preserve">如中标人响应成交，中标人领取中标通知书签订合同后向招标代理机构交纳招标代理服务费（通过数字人民币方式交款）</w:t>
      </w:r>
      <w:r>
        <w:rPr>
          <w:rFonts w:hint="eastAsia" w:ascii="宋体" w:hAnsi="宋体" w:eastAsia="宋体" w:cs="Times New Roman"/>
          <w:bCs/>
          <w:color w:val="000000"/>
          <w:sz w:val="24"/>
          <w:highlight w:val="none"/>
          <w:lang w:eastAsia="zh-CN"/>
        </w:rPr>
        <w:t xml:space="preserve">费用</w:t>
      </w:r>
      <w:r>
        <w:rPr>
          <w:rFonts w:hint="eastAsia" w:ascii="宋体" w:hAnsi="宋体" w:eastAsia="宋体" w:cs="Times New Roman"/>
          <w:bCs/>
          <w:color w:val="000000"/>
          <w:sz w:val="24"/>
          <w:highlight w:val="none"/>
          <w:lang w:val="en-US" w:eastAsia="zh-CN"/>
        </w:rPr>
        <w:t xml:space="preserve">为</w:t>
      </w:r>
      <w:r>
        <w:rPr>
          <w:rFonts w:hint="eastAsia" w:ascii="宋体" w:hAnsi="宋体" w:cs="Times New Roman"/>
          <w:bCs/>
          <w:color w:val="000000"/>
          <w:sz w:val="24"/>
          <w:highlight w:val="none"/>
          <w:lang w:val="en-US" w:eastAsia="zh-CN"/>
        </w:rPr>
        <w:t xml:space="preserve">25200</w:t>
      </w:r>
      <w:r>
        <w:rPr>
          <w:rFonts w:hint="eastAsia" w:ascii="宋体" w:hAnsi="宋体" w:eastAsia="宋体" w:cs="Times New Roman"/>
          <w:bCs/>
          <w:color w:val="000000"/>
          <w:sz w:val="24"/>
          <w:highlight w:val="none"/>
          <w:lang w:val="en-US" w:eastAsia="zh-CN"/>
        </w:rPr>
        <w:t xml:space="preserve">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olor w:val="000000"/>
          <w:sz w:val="24"/>
          <w:highlight w:val="none"/>
        </w:rPr>
        <w:t xml:space="preserve">；</w:t>
      </w:r>
      <w:r/>
    </w:p>
    <w:p>
      <w:pPr>
        <w:pStyle w:val="1055"/>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p>
    <w:p>
      <w:pPr>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p>
    <w:p>
      <w:pPr>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必须提供，且须加盖电子签章，否则投标无效）</w:t>
      </w:r>
      <w:r/>
    </w:p>
    <w:p>
      <w:pPr>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p>
    <w:p>
      <w:pPr>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p>
    <w:p>
      <w:pPr>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p>
    <w:p>
      <w:pPr>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p>
    <w:p>
      <w:pPr>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p>
    <w:p>
      <w:pPr>
        <w:ind w:firstLine="472"/>
        <w:jc w:val="left"/>
        <w:keepLines w:val="0"/>
        <w:keepNext w:val="0"/>
        <w:pageBreakBefore w:val="0"/>
        <w:spacing w:line="50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hint="eastAsia" w:ascii="宋体" w:hAnsi="宋体"/>
          <w:b/>
          <w:color w:val="000000"/>
          <w:sz w:val="24"/>
          <w:highlight w:val="none"/>
          <w:lang w:eastAsia="zh-CN"/>
        </w:rPr>
        <w:t xml:space="preserve">）</w:t>
      </w:r>
      <w:r/>
    </w:p>
    <w:p>
      <w:pPr>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p>
    <w:p>
      <w:pPr>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p>
    <w:p>
      <w:pPr>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p>
    <w:p>
      <w:pPr>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p>
    <w:p>
      <w:pPr>
        <w:ind w:firstLine="72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p>
    <w:p>
      <w:pPr>
        <w:ind w:firstLine="72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p>
    <w:p>
      <w:pPr>
        <w:ind w:firstLine="72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p>
    <w:p>
      <w:pPr>
        <w:ind w:firstLine="720"/>
        <w:jc w:val="left"/>
        <w:keepLines w:val="0"/>
        <w:keepNext w:val="0"/>
        <w:pageBreakBefore w:val="0"/>
        <w:spacing w:line="500" w:lineRule="exact"/>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lang w:eastAsia="zh-CN"/>
        </w:rPr>
        <w:t xml:space="preserve">；</w:t>
      </w:r>
      <w:r/>
    </w:p>
    <w:p>
      <w:pPr>
        <w:ind w:firstLine="720"/>
        <w:jc w:val="left"/>
        <w:keepLines w:val="0"/>
        <w:keepNext w:val="0"/>
        <w:pageBreakBefore w:val="0"/>
        <w:spacing w:line="50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⑤</w:t>
      </w:r>
      <w:r>
        <w:rPr>
          <w:rFonts w:hint="eastAsia" w:ascii="宋体" w:hAnsi="宋体" w:eastAsia="宋体" w:cs="Times New Roman"/>
          <w:color w:val="000000"/>
          <w:sz w:val="24"/>
          <w:highlight w:val="none"/>
          <w:lang w:val="zh-CN"/>
        </w:rPr>
        <w:t xml:space="preserve">备品备件明细表；</w:t>
      </w:r>
      <w:r/>
    </w:p>
    <w:p>
      <w:pPr>
        <w:ind w:firstLine="720"/>
        <w:jc w:val="left"/>
        <w:keepLines w:val="0"/>
        <w:keepNext w:val="0"/>
        <w:pageBreakBefore w:val="0"/>
        <w:spacing w:line="500" w:lineRule="exact"/>
        <w:widowControl/>
        <w:rPr>
          <w:rFonts w:hint="eastAsia" w:ascii="宋体" w:hAnsi="宋体" w:eastAsia="宋体" w:cs="Times New Roman"/>
          <w:color w:val="000000"/>
          <w:sz w:val="24"/>
          <w:highlight w:val="none"/>
          <w:lang w:val="zh-CN"/>
        </w:rPr>
      </w:pPr>
      <w:r>
        <w:rPr>
          <w:rFonts w:hint="eastAsia" w:ascii="宋体" w:hAnsi="宋体" w:eastAsia="宋体" w:cs="宋体"/>
          <w:color w:val="000000"/>
          <w:sz w:val="24"/>
          <w:highlight w:val="none"/>
          <w:lang w:val="zh-CN"/>
        </w:rPr>
        <w:t xml:space="preserve">⑥易损件明细表；</w:t>
      </w:r>
      <w:r/>
    </w:p>
    <w:p>
      <w:pPr>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p>
    <w:p>
      <w:pPr>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p>
    <w:p>
      <w:pPr>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p>
    <w:p>
      <w:pPr>
        <w:ind w:firstLine="482"/>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p>
    <w:p>
      <w:pPr>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keepLines w:val="0"/>
        <w:keepNext w:val="0"/>
        <w:pageBreakBefore w:val="0"/>
        <w:spacing w:line="500" w:lineRule="exact"/>
        <w:widowControl/>
        <w:rPr>
          <w:rFonts w:ascii="宋体" w:hAnsi="宋体" w:cs="Arial"/>
          <w:b/>
          <w:bCs w:val="0"/>
          <w:color w:val="000000"/>
          <w:sz w:val="24"/>
          <w:szCs w:val="24"/>
          <w:highlight w:val="none"/>
          <w:lang w:val="en-US"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lang w:eastAsia="zh-CN"/>
        </w:rPr>
        <w:t xml:space="preserve">）政府采购鼓励优先采购节能产品、环境标志产品，</w:t>
      </w:r>
      <w:r>
        <w:rPr>
          <w:rFonts w:hint="eastAsia" w:ascii="宋体" w:hAnsi="宋体" w:cs="Arial"/>
          <w:b/>
          <w:bCs w:val="0"/>
          <w:color w:val="000000"/>
          <w:sz w:val="24"/>
          <w:szCs w:val="24"/>
          <w:highlight w:val="none"/>
          <w:lang w:val="en-US" w:eastAsia="zh-CN"/>
        </w:rPr>
        <w:t xml:space="preserve">投标人需提供相关产品的证明材料；</w:t>
      </w:r>
      <w:r/>
    </w:p>
    <w:p>
      <w:pPr>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5</w:t>
      </w:r>
      <w:r>
        <w:rPr>
          <w:rFonts w:hint="eastAsia" w:ascii="宋体" w:hAnsi="宋体" w:cs="Arial"/>
          <w:b/>
          <w:bCs w:val="0"/>
          <w:color w:val="000000"/>
          <w:sz w:val="24"/>
          <w:szCs w:val="24"/>
          <w:highlight w:val="none"/>
          <w:lang w:eastAsia="zh-CN"/>
        </w:rPr>
        <w:t xml:space="preserve">）供应商对于投标产品的商品包装、快递包装应按照《关于印发《商品包装政府采购需求标准（试行）》、《快递包装政府采购需求标准（试行）》的通知》（财办库〔2020〕123号）执行；</w:t>
      </w:r>
      <w:r/>
    </w:p>
    <w:p>
      <w:pPr>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6</w:t>
      </w:r>
      <w:r>
        <w:rPr>
          <w:rFonts w:hint="eastAsia" w:ascii="宋体" w:hAnsi="宋体" w:cs="Arial"/>
          <w:b/>
          <w:bCs w:val="0"/>
          <w:color w:val="000000"/>
          <w:sz w:val="24"/>
          <w:szCs w:val="24"/>
          <w:highlight w:val="none"/>
          <w:lang w:eastAsia="zh-CN"/>
        </w:rPr>
        <w:t xml:space="preserve">）若涉及到数据中心采购，应按照《&lt;绿色数据中心政府采购需求标准（试行）&gt;的通知》（财库〔2023〕7号）执行；</w:t>
      </w:r>
      <w:r/>
    </w:p>
    <w:p>
      <w:pPr>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p>
    <w:p>
      <w:pPr>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p>
    <w:p>
      <w:pPr>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p>
    <w:p>
      <w:pPr>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p>
    <w:p>
      <w:pPr>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p>
    <w:p>
      <w:pPr>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p>
    <w:p>
      <w:pPr>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p>
    <w:p>
      <w:pPr>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p>
    <w:p>
      <w:pPr>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13.1投标文件的撤回</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p>
    <w:p>
      <w:pPr>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13.2 投标文件的修改</w:t>
      </w:r>
      <w:r/>
    </w:p>
    <w:p>
      <w:pPr>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p>
    <w:p>
      <w:pPr>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p>
    <w:p>
      <w:pPr>
        <w:ind w:firstLine="474"/>
        <w:jc w:val="left"/>
        <w:spacing w:line="48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p>
    <w:p>
      <w:pPr>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p>
    <w:p>
      <w:pPr>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p>
    <w:p>
      <w:pPr>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p>
    <w:p>
      <w:pPr>
        <w:ind w:firstLine="482"/>
        <w:jc w:val="left"/>
        <w:spacing w:line="48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p>
    <w:p>
      <w:pPr>
        <w:ind w:firstLine="470"/>
        <w:spacing w:line="48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p>
    <w:p>
      <w:pPr>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p>
    <w:p>
      <w:pPr>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p>
    <w:p>
      <w:pPr>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p>
    <w:p>
      <w:pPr>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p>
    <w:p>
      <w:pPr>
        <w:ind w:firstLine="480"/>
        <w:keepLines w:val="0"/>
        <w:keepNext w:val="0"/>
        <w:pageBreakBefore w:val="0"/>
        <w:spacing w:line="460" w:lineRule="exact"/>
        <w:widowControl w:val="off"/>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2"/>
        <w:keepLines w:val="0"/>
        <w:keepNext w:val="0"/>
        <w:pageBreakBefore w:val="0"/>
        <w:spacing w:line="460" w:lineRule="exact"/>
        <w:widowControl w:val="off"/>
        <w:rPr>
          <w:rFonts w:hint="eastAsia"/>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17.3</w:t>
      </w:r>
      <w:r>
        <w:rPr>
          <w:rFonts w:hint="eastAsia" w:ascii="宋体" w:hAnsi="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en-US" w:eastAsia="zh-CN"/>
        </w:rPr>
        <w:t xml:space="preserve">评</w:t>
      </w:r>
      <w:r>
        <w:rPr>
          <w:rFonts w:hint="eastAsia"/>
          <w:b/>
          <w:bCs w:val="0"/>
          <w:color w:val="000000"/>
          <w:sz w:val="24"/>
          <w:szCs w:val="24"/>
          <w:highlight w:val="none"/>
          <w:lang w:val="en-US" w:eastAsia="zh-CN"/>
        </w:rPr>
        <w:t xml:space="preserve">审过程中出现下列情形之一的，评审委员会应当启动异常低价投标（响应）审查程序：</w:t>
      </w:r>
      <w:r/>
    </w:p>
    <w:p>
      <w:pPr>
        <w:ind w:firstLine="482"/>
        <w:keepLines w:val="0"/>
        <w:keepNext w:val="0"/>
        <w:pageBreakBefore w:val="0"/>
        <w:spacing w:line="460" w:lineRule="exact"/>
        <w:widowControl w:val="off"/>
        <w:rPr>
          <w:rFonts w:hint="eastAsia"/>
          <w:b/>
          <w:bCs w:val="0"/>
          <w:color w:val="000000"/>
          <w:sz w:val="24"/>
          <w:highlight w:val="none"/>
        </w:rPr>
      </w:pPr>
      <w:r/>
      <w:bookmarkStart w:id="3" w:name="OLE_LINK57"/>
      <w:r/>
      <w:bookmarkStart w:id="4" w:name="OLE_LINK56"/>
      <w:r>
        <w:rPr>
          <w:rFonts w:hint="eastAsia"/>
          <w:b/>
          <w:bCs w:val="0"/>
          <w:color w:val="000000"/>
          <w:sz w:val="24"/>
          <w:highlight w:val="none"/>
        </w:rPr>
        <w:t xml:space="preserve">（1）投标（响应）报价低于采购项目预算50%的，即投标（响应）报价&lt;采购项目预算×50%；</w:t>
      </w:r>
      <w:r/>
    </w:p>
    <w:p>
      <w:pPr>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（2）投标（响应）报价低于采购项目最高限价 45%的，即投标（响应）报价&lt;采购项目最高限价45%的；</w:t>
      </w:r>
      <w:r/>
    </w:p>
    <w:p>
      <w:pPr>
        <w:ind w:firstLine="482"/>
        <w:keepLines w:val="0"/>
        <w:keepNext w:val="0"/>
        <w:pageBreakBefore w:val="0"/>
        <w:spacing w:line="460" w:lineRule="exact"/>
        <w:widowControl w:val="off"/>
        <w:rPr>
          <w:rFonts w:ascii="宋体" w:hAnsi="宋体"/>
          <w:color w:val="000000"/>
          <w:sz w:val="24"/>
          <w:highlight w:val="none"/>
        </w:rPr>
      </w:pPr>
      <w:r>
        <w:rPr>
          <w:rFonts w:hint="eastAsia"/>
          <w:b/>
          <w:bCs w:val="0"/>
          <w:color w:val="000000"/>
          <w:sz w:val="24"/>
          <w:highlight w:val="none"/>
        </w:rPr>
        <w:t xml:space="preserve">（3）评审委员会认定的供应商报价过低、有可能影响产品质量或者不能诚信履约的其他情形。</w:t>
      </w:r>
      <w:bookmarkEnd w:id="3"/>
      <w:r/>
      <w:bookmarkEnd w:id="4"/>
      <w:r/>
      <w:r/>
    </w:p>
    <w:p>
      <w:pPr>
        <w:ind w:firstLine="482"/>
        <w:jc w:val="left"/>
        <w:keepLines w:val="0"/>
        <w:keepNext w:val="0"/>
        <w:pageBreakBefore w:val="0"/>
        <w:spacing w:line="460" w:lineRule="exact"/>
        <w:widowControl/>
        <w:rPr>
          <w:rFonts w:hint="eastAsia" w:ascii="宋体" w:hAnsi="宋体"/>
          <w:bCs/>
          <w:color w:val="auto"/>
          <w:sz w:val="24"/>
          <w:highlight w:val="none"/>
        </w:rPr>
      </w:pPr>
      <w:r>
        <w:rPr>
          <w:rFonts w:hint="eastAsia" w:ascii="宋体" w:hAnsi="宋体"/>
          <w:bCs/>
          <w:color w:val="auto"/>
          <w:sz w:val="24"/>
          <w:highlight w:val="none"/>
          <w:lang w:val="en-US" w:eastAsia="zh-CN"/>
        </w:rPr>
        <w:t xml:space="preserve">17.3.2</w:t>
      </w:r>
      <w:r>
        <w:rPr>
          <w:rFonts w:hint="eastAsia" w:ascii="宋体" w:hAnsi="宋体"/>
          <w:bCs/>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p>
    <w:p>
      <w:pPr>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p>
    <w:p>
      <w:pPr>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keepLines w:val="0"/>
        <w:keepNext w:val="0"/>
        <w:pageBreakBefore w:val="0"/>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keepLines w:val="0"/>
        <w:keepNext w:val="0"/>
        <w:pageBreakBefore w:val="0"/>
        <w:spacing w:line="460" w:lineRule="exact"/>
        <w:rPr>
          <w:rFonts w:ascii="宋体" w:hAnsi="宋体" w:cs="宋体"/>
          <w:b/>
          <w:bCs/>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lang w:val="en-US" w:eastAsia="zh-CN"/>
        </w:rPr>
        <w:t xml:space="preserve">1</w:t>
      </w:r>
      <w:r>
        <w:rPr>
          <w:rFonts w:hint="eastAsia" w:ascii="宋体" w:hAnsi="宋体" w:cs="宋体"/>
          <w:b/>
          <w:bCs/>
          <w:color w:val="000000"/>
          <w:sz w:val="24"/>
          <w:highlight w:val="none"/>
        </w:rPr>
        <w:t xml:space="preserve">本次招标评标方法为综合评分法。</w:t>
      </w:r>
      <w:r/>
    </w:p>
    <w:p>
      <w:pPr>
        <w:ind w:firstLine="482"/>
        <w:keepLines w:val="0"/>
        <w:keepNext w:val="0"/>
        <w:pageBreakBefore w:val="0"/>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480" w:lineRule="exact"/>
        <w:widowControl w:val="off"/>
        <w:rPr>
          <w:color w:val="000000"/>
          <w:highlight w:val="none"/>
        </w:rPr>
      </w:pPr>
      <w:r>
        <w:rPr>
          <w:rFonts w:hint="eastAsia" w:ascii="宋体" w:hAnsi="宋体" w:cs="宋体"/>
          <w:bCs/>
          <w:color w:val="000000"/>
          <w:sz w:val="24"/>
          <w:highlight w:val="none"/>
        </w:rPr>
        <w:t xml:space="preserve">本项目提供</w:t>
      </w:r>
      <w:r>
        <w:rPr>
          <w:rFonts w:hint="eastAsia" w:ascii="宋体" w:hAnsi="宋体" w:cs="宋体"/>
          <w:b/>
          <w:color w:val="000000"/>
          <w:sz w:val="24"/>
          <w:highlight w:val="none"/>
        </w:rPr>
        <w:t xml:space="preserve">相同品牌核心产品（</w:t>
      </w:r>
      <w:r>
        <w:rPr>
          <w:rFonts w:hint="eastAsia" w:ascii="宋体" w:hAnsi="宋体" w:cs="宋体"/>
          <w:b/>
          <w:color w:val="000000"/>
          <w:sz w:val="24"/>
          <w:highlight w:val="none"/>
          <w:lang w:val="en-US" w:eastAsia="zh-CN"/>
        </w:rPr>
        <w:t xml:space="preserve">*升降式建筑垃圾收集箱</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078"/>
        <w:keepLines w:val="0"/>
        <w:keepNext w:val="0"/>
        <w:pageBreakBefore w:val="0"/>
        <w:spacing w:before="0" w:after="0" w:line="46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numPr>
          <w:ilvl w:val="0"/>
          <w:numId w:val="2"/>
        </w:numPr>
        <w:ind w:firstLine="482"/>
        <w:keepLines w:val="0"/>
        <w:keepNext w:val="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p>
    <w:p>
      <w:pPr>
        <w:numPr>
          <w:ilvl w:val="1"/>
          <w:numId w:val="0"/>
        </w:numPr>
        <w:ind w:left="0" w:firstLine="480"/>
        <w:spacing w:line="48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p>
    <w:p>
      <w:pPr>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 质疑和投诉</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 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 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 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p>
    <w:p>
      <w:pPr>
        <w:ind w:firstLine="480"/>
        <w:jc w:val="left"/>
        <w:keepLines w:val="0"/>
        <w:keepNext w:val="0"/>
        <w:pageBreakBefore w:val="0"/>
        <w:spacing w:line="460" w:lineRule="exact"/>
        <w:widowControl/>
        <w:rPr>
          <w:rFonts w:ascii="宋体" w:hAnsi="宋体" w:cs="宋体"/>
          <w:b/>
          <w:color w:val="000000"/>
          <w:sz w:val="24"/>
          <w:highlight w:val="none"/>
        </w:rPr>
      </w:pPr>
      <w:r/>
      <w:bookmarkStart w:id="5"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p>
    <w:p>
      <w:pPr>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p>
    <w:p>
      <w:pPr>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p>
    <w:p>
      <w:pPr>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p>
    <w:p>
      <w:pPr>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p>
    <w:p>
      <w:pPr>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p>
    <w:p>
      <w:pPr>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p>
    <w:p>
      <w:pPr>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p>
    <w:p>
      <w:pPr>
        <w:ind w:firstLine="480"/>
        <w:jc w:val="left"/>
        <w:keepLines w:val="0"/>
        <w:keepNext w:val="0"/>
        <w:pageBreakBefore w:val="0"/>
        <w:spacing w:line="460" w:lineRule="exact"/>
        <w:widowControl/>
        <w:rPr>
          <w:rFonts w:hint="eastAsia" w:ascii="宋体" w:hAnsi="宋体" w:eastAsia="宋体" w:cs="Arial"/>
          <w:b w:val="0"/>
          <w:bCs/>
          <w:color w:val="000000"/>
          <w:sz w:val="24"/>
          <w:szCs w:val="24"/>
          <w:highlight w:val="none"/>
          <w:lang w:val="en-US" w:eastAsia="zh-CN"/>
        </w:rPr>
      </w:pPr>
      <w:r>
        <w:rPr>
          <w:rFonts w:hint="eastAsia" w:ascii="宋体" w:hAnsi="宋体" w:eastAsia="宋体" w:cs="Arial"/>
          <w:b w:val="0"/>
          <w:bCs/>
          <w:color w:val="000000"/>
          <w:sz w:val="24"/>
          <w:szCs w:val="24"/>
          <w:highlight w:val="none"/>
          <w:lang w:val="en-US" w:eastAsia="zh-CN"/>
        </w:rPr>
        <w:t xml:space="preserve">25.本项目落实预付款制度，预付款比例为30%。在签订合同时，中标、成交供应商明确书面表示无需预付款或者主动要求降低预付款比例的，采购人可就预付款比例作相应调整。</w:t>
      </w:r>
      <w:r/>
    </w:p>
    <w:p>
      <w:pPr>
        <w:ind w:firstLine="472"/>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p>
    <w:p>
      <w:pPr>
        <w:ind w:firstLine="472"/>
        <w:spacing w:line="46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6"/>
        <w:jc w:val="left"/>
        <w:spacing w:line="480" w:lineRule="exact"/>
        <w:widowControl/>
        <w:rPr>
          <w:rFonts w:ascii="宋体" w:hAnsi="宋体"/>
          <w:sz w:val="24"/>
          <w:szCs w:val="20"/>
          <w:highlight w:val="none"/>
        </w:rPr>
      </w:pPr>
      <w:r>
        <w:rPr>
          <w:rFonts w:hint="eastAsia" w:ascii="宋体" w:hAnsi="宋体"/>
          <w:sz w:val="24"/>
          <w:szCs w:val="20"/>
          <w:highlight w:val="none"/>
        </w:rPr>
        <w:t xml:space="preserve">35.其他</w:t>
      </w:r>
      <w:r/>
    </w:p>
    <w:p>
      <w:pPr>
        <w:ind w:firstLine="476"/>
        <w:jc w:val="left"/>
        <w:spacing w:line="480" w:lineRule="exact"/>
        <w:widowControl/>
        <w:rPr>
          <w:rFonts w:ascii="宋体" w:hAnsi="宋体"/>
          <w:sz w:val="24"/>
          <w:szCs w:val="20"/>
          <w:highlight w:val="none"/>
        </w:rPr>
      </w:pPr>
      <w:r>
        <w:rPr>
          <w:rFonts w:hint="eastAsia" w:ascii="宋体" w:hAnsi="宋体"/>
          <w:sz w:val="24"/>
          <w:szCs w:val="20"/>
          <w:highlight w:val="none"/>
        </w:rPr>
        <w:t xml:space="preserve">35.1 本项目落实预付款制度，预付款比例为30%。在签订合同时，中标、成交供应商明确书面表示无需预付款或者主动要求降低预付款比例的，采购人可就预付款比例作相应调整。</w:t>
      </w:r>
      <w:r/>
    </w:p>
    <w:p>
      <w:pPr>
        <w:ind w:firstLine="476"/>
        <w:jc w:val="left"/>
        <w:spacing w:line="480" w:lineRule="exact"/>
        <w:widowControl/>
        <w:rPr>
          <w:rFonts w:ascii="宋体" w:hAnsi="宋体"/>
          <w:sz w:val="24"/>
          <w:szCs w:val="20"/>
          <w:highlight w:val="none"/>
        </w:rPr>
      </w:pPr>
      <w:r>
        <w:rPr>
          <w:rFonts w:hint="eastAsia" w:ascii="宋体" w:hAnsi="宋体"/>
          <w:sz w:val="24"/>
          <w:szCs w:val="20"/>
          <w:highlight w:val="none"/>
        </w:rPr>
        <w:t xml:space="preserve">35.2确需收取履约保证金的，履约保证金的缴纳形式：</w:t>
      </w:r>
      <w:r/>
    </w:p>
    <w:p>
      <w:pPr>
        <w:ind w:firstLine="476"/>
        <w:jc w:val="left"/>
        <w:spacing w:line="480" w:lineRule="exact"/>
        <w:widowControl/>
        <w:rPr>
          <w:rFonts w:ascii="宋体" w:hAnsi="宋体"/>
          <w:sz w:val="24"/>
          <w:szCs w:val="20"/>
          <w:highlight w:val="none"/>
        </w:rPr>
      </w:pPr>
      <w:r>
        <w:rPr>
          <w:rFonts w:hint="eastAsia" w:ascii="宋体" w:hAnsi="宋体"/>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jc w:val="left"/>
        <w:spacing w:line="480" w:lineRule="exact"/>
        <w:widowControl/>
        <w:rPr>
          <w:rFonts w:ascii="宋体" w:hAnsi="宋体"/>
          <w:sz w:val="24"/>
          <w:szCs w:val="20"/>
          <w:highlight w:val="none"/>
        </w:rPr>
      </w:pPr>
      <w:r>
        <w:rPr>
          <w:rFonts w:hint="eastAsia" w:ascii="宋体" w:hAnsi="宋体"/>
          <w:sz w:val="24"/>
          <w:szCs w:val="20"/>
          <w:highlight w:val="none"/>
        </w:rPr>
        <w:t xml:space="preserve">如以履约保函（保险）形式缴纳履约保证金，供应商可通过政府采购电子履约保函（保险）平台（www.jsdzbh.com）在线申请履约保函（保险）。</w:t>
      </w:r>
      <w:r/>
    </w:p>
    <w:p>
      <w:pPr>
        <w:ind w:firstLine="480"/>
        <w:spacing w:before="50" w:line="440" w:lineRule="exact"/>
        <w:rPr>
          <w:rFonts w:hint="eastAsia" w:ascii="宋体" w:hAnsi="宋体" w:cs="宋体"/>
          <w:b/>
          <w:color w:val="000000"/>
          <w:sz w:val="44"/>
          <w:szCs w:val="44"/>
          <w:highlight w:val="none"/>
        </w:rPr>
      </w:pPr>
      <w:r>
        <w:rPr>
          <w:rFonts w:hint="eastAsia" w:ascii="宋体" w:hAnsi="宋体"/>
          <w:sz w:val="24"/>
          <w:szCs w:val="20"/>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107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jc w:val="both"/>
        <w:rPr>
          <w:rFonts w:hint="eastAsia"/>
          <w:color w:val="000000"/>
          <w:highlight w:val="none"/>
        </w:rPr>
      </w:pPr>
      <w:r>
        <w:rPr>
          <w:rFonts w:hint="eastAsia"/>
          <w:color w:val="000000"/>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spacing w:before="50" w:line="440" w:lineRule="exact"/>
        <w:rPr>
          <w:rFonts w:hint="eastAsia" w:ascii="宋体" w:hAnsi="宋体" w:eastAsia="宋体" w:cs="宋体"/>
          <w:color w:val="000000"/>
          <w:sz w:val="44"/>
          <w:szCs w:val="44"/>
          <w:highlight w:val="none"/>
        </w:rPr>
      </w:pPr>
      <w:r>
        <w:rPr>
          <w:rFonts w:hint="eastAsia" w:ascii="宋体" w:hAnsi="宋体" w:eastAsia="宋体" w:cs="宋体"/>
          <w:b/>
          <w:color w:val="000000"/>
          <w:sz w:val="44"/>
          <w:szCs w:val="44"/>
          <w:highlight w:val="none"/>
        </w:rPr>
        <w:t xml:space="preserve">第三章  招标内容及要求</w:t>
      </w:r>
      <w:r/>
    </w:p>
    <w:p>
      <w:pPr>
        <w:ind w:firstLine="482"/>
        <w:jc w:val="left"/>
        <w:keepLines w:val="0"/>
        <w:keepNext w:val="0"/>
        <w:pageBreakBefore w:val="0"/>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highlight w:val="none"/>
        </w:rPr>
        <w:t xml:space="preserve">项目概况</w:t>
      </w:r>
      <w:r/>
    </w:p>
    <w:p>
      <w:pPr>
        <w:ind w:firstLine="480"/>
        <w:jc w:val="left"/>
        <w:spacing w:line="46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1.项目属性: 货物类项目；</w:t>
      </w:r>
      <w:r/>
    </w:p>
    <w:p>
      <w:pPr>
        <w:ind w:firstLine="480"/>
        <w:jc w:val="left"/>
        <w:keepLines w:val="0"/>
        <w:keepNext w:val="0"/>
        <w:pageBreakBefore w:val="0"/>
        <w:spacing w:line="480" w:lineRule="exact"/>
        <w:widowControl/>
        <w:rPr>
          <w:rFonts w:hint="eastAsia" w:ascii="宋体" w:hAnsi="宋体" w:eastAsia="宋体" w:cs="宋体"/>
          <w:color w:val="000000"/>
          <w:sz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建湖县建筑装修垃圾收集站改建及县城中转对接站大修项目</w:t>
      </w:r>
      <w:r/>
    </w:p>
    <w:p>
      <w:pPr>
        <w:ind w:firstLine="480"/>
        <w:jc w:val="left"/>
        <w:keepLines w:val="0"/>
        <w:keepNext w:val="0"/>
        <w:pageBreakBefore w:val="0"/>
        <w:spacing w:line="4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预算金额：</w:t>
      </w: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预算价为</w:t>
      </w:r>
      <w:r>
        <w:rPr>
          <w:rFonts w:hint="eastAsia" w:ascii="宋体" w:hAnsi="宋体" w:cs="宋体"/>
          <w:color w:val="000000"/>
          <w:sz w:val="24"/>
          <w:highlight w:val="none"/>
          <w:lang w:val="en-US" w:eastAsia="zh-CN"/>
        </w:rPr>
        <w:t xml:space="preserve">228.9万元</w:t>
      </w:r>
      <w:r>
        <w:rPr>
          <w:rFonts w:hint="eastAsia" w:ascii="宋体" w:hAnsi="宋体" w:eastAsia="宋体" w:cs="宋体"/>
          <w:bCs/>
          <w:color w:val="000000"/>
          <w:sz w:val="24"/>
          <w:highlight w:val="none"/>
        </w:rPr>
        <w:t xml:space="preserve">；</w:t>
      </w:r>
      <w:r/>
    </w:p>
    <w:p>
      <w:pPr>
        <w:ind w:firstLine="480"/>
        <w:jc w:val="left"/>
        <w:keepLines w:val="0"/>
        <w:keepNext w:val="0"/>
        <w:pageBreakBefore w:val="0"/>
        <w:spacing w:line="460" w:lineRule="exact"/>
        <w:widowControl/>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w:t>
      </w:r>
      <w:r>
        <w:rPr>
          <w:rFonts w:hint="eastAsia"/>
          <w:color w:val="000000"/>
          <w:sz w:val="24"/>
          <w:szCs w:val="22"/>
          <w:highlight w:val="none"/>
        </w:rPr>
        <w:t xml:space="preserve">最高限价（如有）：</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228.9万元</w:t>
      </w:r>
      <w:r>
        <w:rPr>
          <w:rFonts w:hint="eastAsia" w:ascii="宋体" w:hAnsi="宋体" w:cs="宋体"/>
          <w:color w:val="000000" w:themeColor="text1"/>
          <w:sz w:val="24"/>
          <w:highlight w:val="none"/>
          <w:shd w:val="clear" w:color="auto" w:fill="ffffff"/>
          <w14:textFill>
            <w14:solidFill>
              <w14:schemeClr w14:val="tx1"/>
            </w14:solidFill>
          </w14:textFill>
        </w:rPr>
        <w:t xml:space="preserve">，投标报价高于该限价的作无效标处理</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p>
    <w:p>
      <w:pPr>
        <w:ind w:firstLine="480"/>
        <w:keepLines w:val="0"/>
        <w:keepNext w:val="0"/>
        <w:pageBreakBefore w:val="0"/>
        <w:spacing w:line="460" w:lineRule="exact"/>
        <w:widowControl/>
        <w:rPr>
          <w:rFonts w:hint="eastAsia" w:ascii="宋体" w:hAnsi="宋体" w:eastAsia="宋体" w:cs="宋体"/>
          <w:color w:val="000000"/>
          <w:sz w:val="24"/>
          <w:highlight w:val="none"/>
          <w:lang w:eastAsia="zh-CN"/>
        </w:rPr>
      </w:pPr>
      <w:r>
        <w:rPr>
          <w:rFonts w:hint="eastAsia" w:ascii="宋体" w:hAnsi="宋体" w:eastAsia="宋体" w:cs="宋体"/>
          <w:bCs/>
          <w:color w:val="000000"/>
          <w:sz w:val="24"/>
          <w:szCs w:val="20"/>
          <w:highlight w:val="none"/>
          <w:lang w:val="en-US" w:eastAsia="zh-CN" w:bidi="ar-SA"/>
        </w:rPr>
        <w:t xml:space="preserve">4.采购需求：</w:t>
      </w:r>
      <w:r>
        <w:rPr>
          <w:rFonts w:hint="eastAsia" w:ascii="宋体" w:hAnsi="宋体" w:cs="宋体"/>
          <w:color w:val="000000"/>
          <w:sz w:val="24"/>
          <w:highlight w:val="none"/>
          <w:lang w:eastAsia="zh-CN"/>
        </w:rPr>
        <w:t xml:space="preserve">建湖县环境卫生服务中心</w:t>
      </w:r>
      <w:r>
        <w:rPr>
          <w:rFonts w:hint="eastAsia" w:ascii="宋体" w:hAnsi="宋体" w:cs="宋体"/>
          <w:color w:val="000000"/>
          <w:sz w:val="24"/>
          <w:highlight w:val="none"/>
          <w:lang w:val="en-US" w:eastAsia="zh-CN"/>
        </w:rPr>
        <w:t xml:space="preserve">采购</w:t>
      </w:r>
      <w:r>
        <w:rPr>
          <w:rFonts w:hint="eastAsia" w:ascii="宋体" w:hAnsi="宋体" w:cs="Arial"/>
          <w:bCs/>
          <w:color w:val="000000"/>
          <w:sz w:val="24"/>
          <w:szCs w:val="20"/>
          <w:highlight w:val="none"/>
          <w:lang w:val="en-US" w:eastAsia="zh-CN" w:bidi="ar-SA"/>
        </w:rPr>
        <w:t xml:space="preserve">升降式建筑垃圾收集箱三套、钩臂式建筑垃圾收集箱三套、降尘设备三套，维修现有垃圾压缩设备的大推缸和整体提升油缸及附属设施建设</w:t>
      </w:r>
      <w:r>
        <w:rPr>
          <w:rFonts w:hint="eastAsia" w:ascii="宋体" w:hAnsi="宋体" w:eastAsia="宋体" w:cs="Arial"/>
          <w:bCs/>
          <w:color w:val="000000"/>
          <w:sz w:val="24"/>
          <w:szCs w:val="20"/>
          <w:highlight w:val="none"/>
          <w:lang w:val="en-US" w:eastAsia="zh-CN" w:bidi="ar-SA"/>
        </w:rPr>
        <w:t xml:space="preserve">，</w:t>
      </w:r>
      <w:r>
        <w:rPr>
          <w:rFonts w:hint="eastAsia" w:ascii="宋体" w:hAnsi="宋体" w:cs="宋体"/>
          <w:b w:val="0"/>
          <w:bCs w:val="0"/>
          <w:color w:val="000000"/>
          <w:sz w:val="24"/>
          <w:szCs w:val="24"/>
          <w:highlight w:val="none"/>
        </w:rPr>
        <w:t xml:space="preserve">包括产品的供货、运输（送达至采购人指定地点并卸货）、安装</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及售后服务等内容</w:t>
      </w:r>
      <w:r>
        <w:rPr>
          <w:rFonts w:hint="eastAsia" w:ascii="宋体" w:hAnsi="宋体" w:cs="宋体"/>
          <w:bCs/>
          <w:color w:val="000000"/>
          <w:sz w:val="24"/>
          <w:highlight w:val="none"/>
        </w:rPr>
        <w:t xml:space="preserve">，详见招标文件要求</w:t>
      </w:r>
      <w:r>
        <w:rPr>
          <w:rFonts w:hint="eastAsia" w:ascii="宋体" w:hAnsi="宋体" w:eastAsia="宋体" w:cs="宋体"/>
          <w:bCs/>
          <w:color w:val="000000"/>
          <w:sz w:val="24"/>
          <w:szCs w:val="20"/>
          <w:highlight w:val="none"/>
          <w:lang w:val="en-US" w:eastAsia="zh-CN" w:bidi="ar-SA"/>
        </w:rPr>
        <w:t xml:space="preserve">；</w:t>
      </w:r>
      <w:r/>
    </w:p>
    <w:p>
      <w:pPr>
        <w:ind w:firstLine="480"/>
        <w:jc w:val="left"/>
        <w:spacing w:line="45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5.供货期：合同签订后</w:t>
      </w:r>
      <w:r>
        <w:rPr>
          <w:rFonts w:hint="eastAsia" w:ascii="宋体" w:hAnsi="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lang w:val="en-US" w:eastAsia="zh-CN"/>
        </w:rPr>
        <w:t xml:space="preserve">天内供货到指定地点安装、调试、验收等并交付采购人使用；</w:t>
      </w:r>
      <w:r/>
    </w:p>
    <w:p>
      <w:pPr>
        <w:ind w:firstLine="480"/>
        <w:jc w:val="left"/>
        <w:spacing w:line="45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u w:val="single"/>
          <w:lang w:val="en-US" w:eastAsia="zh-CN"/>
        </w:rPr>
        <w:t xml:space="preserve">1</w:t>
      </w:r>
      <w:r>
        <w:rPr>
          <w:rFonts w:hint="eastAsia" w:ascii="宋体" w:hAnsi="宋体" w:eastAsia="宋体" w:cs="宋体"/>
          <w:color w:val="000000"/>
          <w:sz w:val="24"/>
          <w:highlight w:val="none"/>
          <w:lang w:val="en-US" w:eastAsia="zh-CN"/>
        </w:rPr>
        <w:t xml:space="preserve">年；</w:t>
      </w:r>
      <w:r/>
    </w:p>
    <w:p>
      <w:pPr>
        <w:ind w:firstLine="480"/>
        <w:jc w:val="left"/>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本项目（是/否）接受联合体投标：否</w:t>
      </w:r>
      <w:r/>
    </w:p>
    <w:p>
      <w:pPr>
        <w:ind w:firstLine="480"/>
        <w:jc w:val="left"/>
        <w:keepLines w:val="0"/>
        <w:keepNext w:val="0"/>
        <w:pageBreakBefore w:val="0"/>
        <w:spacing w:line="480" w:lineRule="exact"/>
        <w:widowControl/>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8.本项目（是/否）进口产品投标：不接受进口产品</w:t>
      </w:r>
      <w:r/>
    </w:p>
    <w:p>
      <w:pPr>
        <w:pStyle w:val="1078"/>
        <w:ind w:left="479" w:firstLine="0"/>
        <w:keepLines w:val="0"/>
        <w:keepNext w:val="0"/>
        <w:pageBreakBefore w:val="0"/>
        <w:spacing w:before="0" w:after="0" w:line="460" w:lineRule="exact"/>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二、建设内容</w:t>
      </w:r>
      <w:r/>
    </w:p>
    <w:p>
      <w:pPr>
        <w:pStyle w:val="1078"/>
        <w:ind w:left="0" w:firstLine="480"/>
        <w:keepLines w:val="0"/>
        <w:keepNext w:val="0"/>
        <w:pageBreakBefore w:val="0"/>
        <w:spacing w:before="0" w:after="0" w:line="460" w:lineRule="exact"/>
        <w:widowControl w:val="off"/>
        <w:rPr>
          <w:rFonts w:hint="eastAsia" w:ascii="宋体" w:hAnsi="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随着建湖县城镇化进程加速，城市人口持续增长，生活垃圾和建筑垃圾产生量逐年攀升，现有的生活垃圾和建筑垃圾收运体系，逐渐难以满足日益增长的处理需求。现存垃圾中转站设备老化、处理效率低下，建成时间较久，设施老化故障频发，导致垃圾转运能力受限；同时由于部分垃圾中转站规模小，环卫基础设施配套不足，勾臂箱老化失修，影响市容市貌与垃圾收集效率。此外，环保标准不断提高，对垃圾收运过程中的污染防控要求更为严格，为有效解决上述问题，提升垃圾收运体系整体效能，建湖县环境卫生服务中心启动生活垃圾及建筑垃圾收运体系升级完善项目。 </w:t>
      </w:r>
      <w:r/>
    </w:p>
    <w:p>
      <w:pPr>
        <w:pStyle w:val="1078"/>
        <w:ind w:left="0" w:firstLine="480"/>
        <w:keepLines w:val="0"/>
        <w:keepNext w:val="0"/>
        <w:pageBreakBefore w:val="0"/>
        <w:spacing w:before="0" w:after="0" w:line="460" w:lineRule="exact"/>
        <w:widowControl w:val="off"/>
        <w:rPr>
          <w:rFonts w:hint="eastAsia" w:ascii="宋体" w:hAnsi="宋体" w:cs="宋体"/>
          <w:b w:val="0"/>
          <w:bCs w:val="0"/>
          <w:color w:val="000000"/>
          <w:highlight w:val="none"/>
          <w:lang w:val="en-US" w:eastAsia="zh-CN"/>
        </w:rPr>
      </w:pPr>
      <w:r>
        <w:rPr>
          <w:rFonts w:hint="eastAsia" w:ascii="宋体" w:hAnsi="宋体" w:cs="宋体"/>
          <w:b w:val="0"/>
          <w:bCs w:val="0"/>
          <w:color w:val="000000"/>
          <w:highlight w:val="none"/>
          <w:lang w:val="en-US" w:eastAsia="zh-CN"/>
        </w:rPr>
        <w:t xml:space="preserve">本项目共涉及12处场地改造和新增设备，改造成建筑垃圾收集点，其中有3处改造为地藏式垃圾箱站，设备使用时落于基坑内，箱满时通过液压系统将设备举升至地面，再由垃圾转运车辆拖走。还有3处采用地面式中转站，通过对场地进行硬化，由垃圾转运车辆拖走。剩余6处则对现有设施设备进行大修，通过本次改造，构建更加高效、环保、智能化的建筑垃圾和生活垃圾收运体系，实现建筑垃圾和生活垃圾从收集、中转到转运的全流程优化，保障城市环境卫生，助力生态宜居城市建设。</w:t>
      </w:r>
      <w:r/>
    </w:p>
    <w:p>
      <w:pPr>
        <w:pStyle w:val="1078"/>
        <w:ind w:left="0" w:firstLine="482"/>
        <w:keepLines w:val="0"/>
        <w:keepNext w:val="0"/>
        <w:pageBreakBefore w:val="0"/>
        <w:spacing w:before="0" w:after="0" w:line="460" w:lineRule="exact"/>
        <w:widowControl w:val="off"/>
        <w:rPr>
          <w:rFonts w:hint="eastAsia" w:ascii="宋体" w:hAnsi="宋体" w:cs="宋体"/>
          <w:b w:val="0"/>
          <w:bCs w:val="0"/>
          <w:color w:val="000000"/>
          <w:highlight w:val="none"/>
          <w:lang w:val="en-US" w:eastAsia="zh-CN"/>
        </w:rPr>
      </w:pPr>
      <w:r>
        <w:rPr>
          <w:rFonts w:hint="eastAsia" w:ascii="宋体" w:hAnsi="宋体" w:cs="宋体"/>
          <w:b/>
          <w:bCs/>
          <w:color w:val="000000"/>
          <w:highlight w:val="none"/>
          <w:lang w:val="en-US" w:eastAsia="zh-CN"/>
        </w:rPr>
        <w:t xml:space="preserve">本项目12处生活和建筑垃圾中转站升级改造和设施设备大修具体如下表：</w:t>
      </w:r>
      <w:r/>
    </w:p>
    <w:tbl>
      <w:tblPr>
        <w:tblStyle w:val="898"/>
        <w:tblW w:w="10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466"/>
        <w:gridCol w:w="1272"/>
        <w:gridCol w:w="3471"/>
        <w:gridCol w:w="1859"/>
        <w:gridCol w:w="763"/>
      </w:tblGrid>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460" w:lineRule="exact"/>
              <w:widowControl w:val="off"/>
              <w:rPr>
                <w:rFonts w:hint="eastAsia" w:ascii="宋体" w:hAnsi="宋体" w:eastAsia="宋体" w:cs="宋体"/>
                <w:b/>
                <w:bCs/>
                <w:color w:val="000000"/>
                <w:sz w:val="22"/>
                <w:szCs w:val="22"/>
                <w:highlight w:val="none"/>
                <w:lang w:val="en-US" w:eastAsia="zh-CN" w:bidi="ar"/>
              </w:rPr>
            </w:pPr>
            <w:r>
              <w:rPr>
                <w:rFonts w:hint="eastAsia" w:ascii="宋体" w:hAnsi="宋体" w:eastAsia="宋体" w:cs="宋体"/>
                <w:b/>
                <w:bCs/>
                <w:color w:val="000000"/>
                <w:sz w:val="22"/>
                <w:szCs w:val="22"/>
                <w:highlight w:val="none"/>
                <w:lang w:val="en-US" w:eastAsia="zh-CN" w:bidi="ar"/>
              </w:rPr>
              <w:t xml:space="preserve">序号</w:t>
            </w:r>
            <w:r/>
          </w:p>
        </w:tc>
        <w:tc>
          <w:tcPr>
            <w:tcW w:w="2466" w:type="dxa"/>
            <w:textDirection w:val="lrTb"/>
            <w:noWrap w:val="false"/>
          </w:tcPr>
          <w:p>
            <w:pPr>
              <w:pStyle w:val="1078"/>
              <w:ind w:left="0" w:firstLine="0"/>
              <w:jc w:val="center"/>
              <w:keepLines w:val="0"/>
              <w:keepNext w:val="0"/>
              <w:pageBreakBefore w:val="0"/>
              <w:spacing w:before="0" w:after="0" w:line="460" w:lineRule="exact"/>
              <w:widowControl w:val="off"/>
              <w:rPr>
                <w:rFonts w:hint="eastAsia" w:ascii="宋体" w:hAnsi="宋体" w:cs="宋体"/>
                <w:b/>
                <w:bCs/>
                <w:color w:val="000000"/>
                <w:highlight w:val="none"/>
                <w:vertAlign w:val="baseline"/>
                <w:lang w:val="en-US" w:eastAsia="zh-CN"/>
              </w:rPr>
            </w:pPr>
            <w:r>
              <w:rPr>
                <w:rFonts w:hint="eastAsia" w:ascii="宋体" w:hAnsi="宋体" w:eastAsia="宋体" w:cs="宋体"/>
                <w:b/>
                <w:bCs/>
                <w:color w:val="000000"/>
                <w:sz w:val="22"/>
                <w:szCs w:val="22"/>
                <w:highlight w:val="none"/>
                <w:lang w:val="en-US" w:eastAsia="zh-CN" w:bidi="ar"/>
              </w:rPr>
              <w:t xml:space="preserve">建设地点</w:t>
            </w:r>
            <w:r/>
          </w:p>
        </w:tc>
        <w:tc>
          <w:tcPr>
            <w:tcW w:w="1272" w:type="dxa"/>
            <w:textDirection w:val="lrTb"/>
            <w:noWrap w:val="false"/>
          </w:tcPr>
          <w:p>
            <w:pPr>
              <w:pStyle w:val="1078"/>
              <w:ind w:left="0" w:firstLine="0"/>
              <w:jc w:val="center"/>
              <w:keepLines w:val="0"/>
              <w:keepNext w:val="0"/>
              <w:pageBreakBefore w:val="0"/>
              <w:spacing w:before="0" w:after="0" w:line="460" w:lineRule="exact"/>
              <w:widowControl w:val="off"/>
              <w:rPr>
                <w:rFonts w:hint="eastAsia" w:ascii="宋体" w:hAnsi="宋体" w:cs="宋体"/>
                <w:b/>
                <w:bCs/>
                <w:color w:val="000000"/>
                <w:highlight w:val="none"/>
                <w:vertAlign w:val="baseline"/>
                <w:lang w:val="en-US" w:eastAsia="zh-CN"/>
              </w:rPr>
            </w:pPr>
            <w:r>
              <w:rPr>
                <w:rFonts w:hint="eastAsia" w:ascii="宋体" w:hAnsi="宋体" w:eastAsia="宋体" w:cs="宋体"/>
                <w:b/>
                <w:bCs/>
                <w:color w:val="000000"/>
                <w:sz w:val="22"/>
                <w:szCs w:val="22"/>
                <w:highlight w:val="none"/>
                <w:lang w:val="en-US" w:eastAsia="zh-CN" w:bidi="ar"/>
              </w:rPr>
              <w:t xml:space="preserve">建设方式</w:t>
            </w:r>
            <w:r/>
          </w:p>
        </w:tc>
        <w:tc>
          <w:tcPr>
            <w:tcW w:w="3471" w:type="dxa"/>
            <w:textDirection w:val="lrTb"/>
            <w:noWrap w:val="false"/>
          </w:tcPr>
          <w:p>
            <w:pPr>
              <w:pStyle w:val="1078"/>
              <w:ind w:left="0" w:firstLine="0"/>
              <w:jc w:val="center"/>
              <w:keepLines w:val="0"/>
              <w:keepNext w:val="0"/>
              <w:pageBreakBefore w:val="0"/>
              <w:spacing w:before="0" w:after="0" w:line="460" w:lineRule="exact"/>
              <w:widowControl w:val="off"/>
              <w:rPr>
                <w:rFonts w:hint="eastAsia" w:ascii="宋体" w:hAnsi="宋体" w:cs="宋体"/>
                <w:b/>
                <w:bCs/>
                <w:color w:val="000000"/>
                <w:highlight w:val="none"/>
                <w:vertAlign w:val="baseline"/>
                <w:lang w:val="en-US" w:eastAsia="zh-CN"/>
              </w:rPr>
            </w:pPr>
            <w:r>
              <w:rPr>
                <w:rFonts w:hint="eastAsia" w:ascii="宋体" w:hAnsi="宋体" w:eastAsia="宋体" w:cs="宋体"/>
                <w:b/>
                <w:bCs/>
                <w:color w:val="000000"/>
                <w:sz w:val="22"/>
                <w:szCs w:val="22"/>
                <w:highlight w:val="none"/>
                <w:lang w:val="en-US" w:eastAsia="zh-CN" w:bidi="ar"/>
              </w:rPr>
              <w:t xml:space="preserve">施工内容</w:t>
            </w:r>
            <w:r/>
          </w:p>
        </w:tc>
        <w:tc>
          <w:tcPr>
            <w:tcW w:w="1859" w:type="dxa"/>
            <w:textDirection w:val="lrTb"/>
            <w:noWrap w:val="false"/>
          </w:tcPr>
          <w:p>
            <w:pPr>
              <w:pStyle w:val="1078"/>
              <w:ind w:left="0" w:firstLine="0"/>
              <w:jc w:val="center"/>
              <w:keepLines w:val="0"/>
              <w:keepNext w:val="0"/>
              <w:pageBreakBefore w:val="0"/>
              <w:spacing w:before="0" w:after="0" w:line="460" w:lineRule="exact"/>
              <w:widowControl w:val="off"/>
              <w:rPr>
                <w:rFonts w:hint="default" w:ascii="宋体" w:hAnsi="宋体" w:eastAsia="宋体" w:cs="宋体"/>
                <w:b/>
                <w:bCs/>
                <w:color w:val="000000"/>
                <w:sz w:val="22"/>
                <w:szCs w:val="22"/>
                <w:highlight w:val="none"/>
                <w:lang w:val="en-US" w:eastAsia="zh-CN" w:bidi="ar"/>
              </w:rPr>
            </w:pPr>
            <w:r>
              <w:rPr>
                <w:rFonts w:hint="eastAsia" w:ascii="宋体" w:hAnsi="宋体" w:cs="宋体"/>
                <w:b/>
                <w:bCs/>
                <w:color w:val="000000"/>
                <w:sz w:val="22"/>
                <w:szCs w:val="22"/>
                <w:highlight w:val="none"/>
                <w:lang w:val="en-US" w:eastAsia="zh-CN" w:bidi="ar"/>
              </w:rPr>
              <w:t xml:space="preserve">垃圾箱配置</w:t>
            </w:r>
            <w:r/>
          </w:p>
        </w:tc>
        <w:tc>
          <w:tcPr>
            <w:tcW w:w="763" w:type="dxa"/>
            <w:textDirection w:val="lrTb"/>
            <w:noWrap w:val="false"/>
          </w:tcPr>
          <w:p>
            <w:pPr>
              <w:pStyle w:val="1078"/>
              <w:ind w:left="0" w:firstLine="0"/>
              <w:jc w:val="center"/>
              <w:keepLines w:val="0"/>
              <w:keepNext w:val="0"/>
              <w:pageBreakBefore w:val="0"/>
              <w:spacing w:before="0" w:after="0" w:line="460" w:lineRule="exact"/>
              <w:widowControl w:val="off"/>
              <w:rPr>
                <w:rFonts w:hint="eastAsia" w:ascii="宋体" w:hAnsi="宋体" w:cs="宋体"/>
                <w:b/>
                <w:bCs/>
                <w:color w:val="000000"/>
                <w:highlight w:val="none"/>
                <w:vertAlign w:val="baseline"/>
                <w:lang w:val="en-US" w:eastAsia="zh-CN"/>
              </w:rPr>
            </w:pPr>
            <w:r>
              <w:rPr>
                <w:rFonts w:hint="eastAsia" w:ascii="宋体" w:hAnsi="宋体" w:eastAsia="宋体" w:cs="宋体"/>
                <w:b/>
                <w:bCs/>
                <w:color w:val="000000"/>
                <w:sz w:val="22"/>
                <w:szCs w:val="22"/>
                <w:highlight w:val="none"/>
                <w:lang w:val="en-US" w:eastAsia="zh-CN" w:bidi="ar"/>
              </w:rPr>
              <w:t xml:space="preserve">备注</w:t>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eastAsia="宋体" w:cs="宋体"/>
                <w:b/>
                <w:bCs/>
                <w:color w:val="000000"/>
                <w:sz w:val="22"/>
                <w:szCs w:val="22"/>
                <w:highlight w:val="none"/>
                <w:lang w:val="en-US" w:eastAsia="zh-CN" w:bidi="ar"/>
              </w:rPr>
            </w:pPr>
            <w:r>
              <w:rPr>
                <w:rFonts w:hint="eastAsia" w:ascii="宋体" w:hAnsi="宋体" w:cs="宋体"/>
                <w:b/>
                <w:bCs/>
                <w:color w:val="000000"/>
                <w:sz w:val="22"/>
                <w:szCs w:val="22"/>
                <w:highlight w:val="none"/>
                <w:lang w:val="en-US" w:eastAsia="zh-CN" w:bidi="ar"/>
              </w:rPr>
              <w:t xml:space="preserve">1</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西塘丽景小区中转站内</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地面硬化</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地面破碎、凿除，新建钢筋混凝土路面、轨道配套设施等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Arial"/>
                <w:bCs/>
                <w:color w:val="000000"/>
                <w:sz w:val="24"/>
                <w:szCs w:val="20"/>
                <w:highlight w:val="none"/>
                <w:lang w:val="en-US" w:eastAsia="zh-CN" w:bidi="ar-SA"/>
              </w:rPr>
              <w:t xml:space="preserve">钩臂式建筑垃圾收集箱1套</w:t>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2</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刘家墩中转站内</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地面硬化</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地面破碎、凿除，新建钢筋混凝土路面、轨道配套设施等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Arial"/>
                <w:bCs/>
                <w:color w:val="000000"/>
                <w:sz w:val="24"/>
                <w:szCs w:val="20"/>
                <w:highlight w:val="none"/>
                <w:lang w:val="en-US" w:eastAsia="zh-CN" w:bidi="ar-SA"/>
              </w:rPr>
              <w:t xml:space="preserve">钩臂式建筑垃圾收集箱1套</w:t>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3</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崔墩路中转站内</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地面硬化</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地面破碎、凿除，新建钢筋混凝土路面、轨道配套设施等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Arial"/>
                <w:bCs/>
                <w:color w:val="000000"/>
                <w:sz w:val="24"/>
                <w:szCs w:val="20"/>
                <w:highlight w:val="none"/>
                <w:lang w:val="en-US" w:eastAsia="zh-CN" w:bidi="ar-SA"/>
              </w:rPr>
              <w:t xml:space="preserve">钩臂式建筑垃圾收集箱1套</w:t>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4</w:t>
            </w:r>
            <w:r/>
          </w:p>
        </w:tc>
        <w:tc>
          <w:tcPr>
            <w:tcW w:w="2466"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b w:val="0"/>
                <w:bCs w:val="0"/>
                <w:color w:val="000000"/>
                <w:sz w:val="24"/>
                <w:szCs w:val="24"/>
                <w:highlight w:val="none"/>
                <w:lang w:val="en-US" w:eastAsia="zh-CN" w:bidi="ar"/>
              </w:rPr>
              <w:t xml:space="preserve">城市嘉园中转站内</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下挖地藏式</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原地面土方开挖，下挖地藏式垃圾中转站，设备使用时落于基坑内</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Arial"/>
                <w:bCs/>
                <w:color w:val="000000"/>
                <w:sz w:val="24"/>
                <w:szCs w:val="20"/>
                <w:highlight w:val="none"/>
                <w:lang w:val="en-US" w:eastAsia="zh-CN" w:bidi="ar-SA"/>
              </w:rPr>
              <w:t xml:space="preserve">升降式建筑垃圾收集箱1套</w:t>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5</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盐城市骅业石油机械有限公司东</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下挖地藏式</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原地面土方开挖，下挖地藏式垃圾中转站，设备使用时落于基坑内</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Arial"/>
                <w:bCs/>
                <w:color w:val="000000"/>
                <w:sz w:val="24"/>
                <w:szCs w:val="20"/>
                <w:highlight w:val="none"/>
                <w:lang w:val="en-US" w:eastAsia="zh-CN" w:bidi="ar-SA"/>
              </w:rPr>
              <w:t xml:space="preserve">升降式建筑垃圾收集箱1套</w:t>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6</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中国邮政储蓄银行建湖县太平路支行</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下挖地藏式</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原地面土方开挖，下挖地藏式垃圾中转站，设备使用时落于基坑内</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Arial"/>
                <w:bCs/>
                <w:color w:val="000000"/>
                <w:sz w:val="24"/>
                <w:szCs w:val="20"/>
                <w:highlight w:val="none"/>
                <w:lang w:val="en-US" w:eastAsia="zh-CN" w:bidi="ar-SA"/>
              </w:rPr>
              <w:t xml:space="preserve">升降式建筑垃圾收集箱1套</w:t>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7</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德容装饰城中转站</w:t>
            </w:r>
            <w:r/>
          </w:p>
        </w:tc>
        <w:tc>
          <w:tcPr>
            <w:tcW w:w="1272"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设备维修</w:t>
            </w:r>
            <w:r/>
          </w:p>
        </w:tc>
        <w:tc>
          <w:tcPr>
            <w:tcW w:w="3471" w:type="dxa"/>
            <w:vAlign w:val="center"/>
            <w:vMerge w:val="restart"/>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箱体更换一只、架子更换一套、油缸更换一根、配电柜更换一套、泵站更换一套等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8</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新杨东路中转站</w:t>
            </w:r>
            <w:r/>
          </w:p>
        </w:tc>
        <w:tc>
          <w:tcPr>
            <w:tcW w:w="1272" w:type="dxa"/>
            <w:vAlign w:val="center"/>
            <w:textDirection w:val="lrTb"/>
            <w:noWrap w:val="false"/>
          </w:tcPr>
          <w:p>
            <w:pPr>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设备维修</w:t>
            </w:r>
            <w:r/>
          </w:p>
        </w:tc>
        <w:tc>
          <w:tcPr>
            <w:tcW w:w="3471"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cs="宋体"/>
                <w:b w:val="0"/>
                <w:bCs w:val="0"/>
                <w:color w:val="000000"/>
                <w:sz w:val="24"/>
                <w:szCs w:val="24"/>
                <w:highlight w:val="none"/>
                <w:vertAlign w:val="baseline"/>
                <w:lang w:val="en-US" w:eastAsia="zh-CN"/>
              </w:rPr>
              <w:suppressLineNumbers w:val="0"/>
            </w:pPr>
            <w:r>
              <w:rPr>
                <w:rFonts w:hint="eastAsia" w:ascii="宋体" w:hAnsi="宋体" w:cs="宋体"/>
                <w:b w:val="0"/>
                <w:bCs w:val="0"/>
                <w:color w:val="000000"/>
                <w:sz w:val="24"/>
                <w:szCs w:val="24"/>
                <w:highlight w:val="none"/>
                <w:vertAlign w:val="baseline"/>
                <w:lang w:val="en-US" w:eastAsia="zh-CN"/>
              </w:rPr>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9</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森达桥中转站</w:t>
            </w:r>
            <w:r/>
          </w:p>
        </w:tc>
        <w:tc>
          <w:tcPr>
            <w:tcW w:w="1272" w:type="dxa"/>
            <w:vAlign w:val="center"/>
            <w:textDirection w:val="lrTb"/>
            <w:noWrap w:val="false"/>
          </w:tcPr>
          <w:p>
            <w:pPr>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设备维修</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bidi="ar"/>
              </w:rPr>
              <w:t xml:space="preserve">液压油更换、大推缸维修等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10</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神台西路中转站</w:t>
            </w:r>
            <w:r/>
          </w:p>
        </w:tc>
        <w:tc>
          <w:tcPr>
            <w:tcW w:w="1272" w:type="dxa"/>
            <w:vAlign w:val="center"/>
            <w:textDirection w:val="lrTb"/>
            <w:noWrap w:val="false"/>
          </w:tcPr>
          <w:p>
            <w:pPr>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设备维修</w:t>
            </w:r>
            <w:r/>
          </w:p>
        </w:tc>
        <w:tc>
          <w:tcPr>
            <w:shd w:val="clear" w:color="auto" w:fill="auto"/>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rPr>
              <w:t xml:space="preserve">液压油更换、整体提升油缸维修等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11</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建港桥中转站</w:t>
            </w:r>
            <w:r/>
          </w:p>
        </w:tc>
        <w:tc>
          <w:tcPr>
            <w:tcW w:w="1272" w:type="dxa"/>
            <w:vAlign w:val="center"/>
            <w:textDirection w:val="lrTb"/>
            <w:noWrap w:val="false"/>
          </w:tcPr>
          <w:p>
            <w:pPr>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设备维修</w:t>
            </w:r>
            <w:r/>
          </w:p>
        </w:tc>
        <w:tc>
          <w:tcPr>
            <w:tcW w:w="347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液压油更换、整体提升油缸维修等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r>
        <w:trPr>
          <w:jc w:val="center"/>
        </w:trPr>
        <w:tc>
          <w:tcPr>
            <w:tcW w:w="701"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default"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t xml:space="preserve">12</w:t>
            </w:r>
            <w:r/>
          </w:p>
        </w:tc>
        <w:tc>
          <w:tcPr>
            <w:tcW w:w="2466"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克胜中转站</w:t>
            </w:r>
            <w:r/>
          </w:p>
        </w:tc>
        <w:tc>
          <w:tcPr>
            <w:tcW w:w="1272" w:type="dxa"/>
            <w:vAlign w:val="center"/>
            <w:textDirection w:val="lrTb"/>
            <w:noWrap w:val="false"/>
          </w:tcPr>
          <w:p>
            <w:pPr>
              <w:ind w:left="0" w:firstLine="0"/>
              <w:jc w:val="center"/>
              <w:keepLines w:val="0"/>
              <w:keepNext w:val="0"/>
              <w:pageBreakBefore w:val="0"/>
              <w:spacing w:before="0" w:after="0" w:line="360" w:lineRule="exact"/>
              <w:widowControl w:val="off"/>
              <w:rPr>
                <w:rFonts w:hint="eastAsia" w:ascii="宋体" w:hAnsi="宋体" w:cs="宋体"/>
                <w:b w:val="0"/>
                <w:bCs w:val="0"/>
                <w:color w:val="000000"/>
                <w:sz w:val="24"/>
                <w:szCs w:val="24"/>
                <w:highlight w:val="none"/>
                <w:vertAlign w:val="baseline"/>
                <w:lang w:val="en-US" w:eastAsia="zh-CN"/>
              </w:rPr>
            </w:pPr>
            <w:r>
              <w:rPr>
                <w:rFonts w:hint="eastAsia" w:ascii="宋体" w:hAnsi="宋体" w:cs="宋体"/>
                <w:b w:val="0"/>
                <w:bCs w:val="0"/>
                <w:color w:val="000000"/>
                <w:sz w:val="24"/>
                <w:szCs w:val="24"/>
                <w:highlight w:val="none"/>
                <w:vertAlign w:val="baseline"/>
                <w:lang w:val="en-US" w:eastAsia="zh-CN"/>
              </w:rPr>
              <w:t xml:space="preserve">设备维修</w:t>
            </w:r>
            <w:r/>
          </w:p>
        </w:tc>
        <w:tc>
          <w:tcPr>
            <w:shd w:val="clear" w:color="auto" w:fill="auto"/>
            <w:tcW w:w="3471"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color w:val="000000"/>
                <w:sz w:val="24"/>
                <w:szCs w:val="24"/>
                <w:highlight w:val="none"/>
                <w:vertAlign w:val="baseline"/>
                <w:lang w:val="en-US" w:eastAsia="zh-CN" w:bidi="ar-SA"/>
              </w:rPr>
              <w:suppressLineNumbers w:val="0"/>
            </w:pPr>
            <w:r>
              <w:rPr>
                <w:rFonts w:hint="eastAsia" w:ascii="宋体" w:hAnsi="宋体" w:eastAsia="宋体" w:cs="宋体"/>
                <w:b w:val="0"/>
                <w:bCs w:val="0"/>
                <w:color w:val="000000"/>
                <w:sz w:val="24"/>
                <w:szCs w:val="24"/>
                <w:highlight w:val="none"/>
                <w:lang w:val="en-US" w:eastAsia="zh-CN" w:bidi="ar"/>
              </w:rPr>
              <w:t xml:space="preserve">液压油更换、大推缸维修等</w:t>
            </w:r>
            <w:r/>
          </w:p>
        </w:tc>
        <w:tc>
          <w:tcPr>
            <w:tcW w:w="1859"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c>
          <w:tcPr>
            <w:tcW w:w="763" w:type="dxa"/>
            <w:vAlign w:val="center"/>
            <w:textDirection w:val="lrTb"/>
            <w:noWrap w:val="false"/>
          </w:tcPr>
          <w:p>
            <w:pPr>
              <w:pStyle w:val="1078"/>
              <w:ind w:left="0" w:firstLine="0"/>
              <w:jc w:val="center"/>
              <w:keepLines w:val="0"/>
              <w:keepNext w:val="0"/>
              <w:pageBreakBefore w:val="0"/>
              <w:spacing w:before="0" w:after="0" w:line="360" w:lineRule="exact"/>
              <w:widowControl w:val="off"/>
              <w:rPr>
                <w:rFonts w:hint="eastAsia" w:ascii="宋体" w:hAnsi="宋体" w:cs="宋体"/>
                <w:b/>
                <w:bCs/>
                <w:color w:val="000000"/>
                <w:highlight w:val="none"/>
                <w:vertAlign w:val="baseline"/>
                <w:lang w:val="en-US" w:eastAsia="zh-CN"/>
              </w:rPr>
            </w:pPr>
            <w:r>
              <w:rPr>
                <w:rFonts w:hint="eastAsia" w:ascii="宋体" w:hAnsi="宋体" w:cs="宋体"/>
                <w:b/>
                <w:bCs/>
                <w:color w:val="000000"/>
                <w:highlight w:val="none"/>
                <w:vertAlign w:val="baseline"/>
                <w:lang w:val="en-US" w:eastAsia="zh-CN"/>
              </w:rPr>
            </w:r>
            <w:r/>
          </w:p>
        </w:tc>
      </w:tr>
    </w:tbl>
    <w:p>
      <w:pPr>
        <w:pStyle w:val="1078"/>
        <w:ind w:left="479" w:firstLine="0"/>
        <w:keepLines w:val="0"/>
        <w:keepNext w:val="0"/>
        <w:pageBreakBefore w:val="0"/>
        <w:spacing w:before="0" w:after="0" w:line="460" w:lineRule="exact"/>
        <w:rPr>
          <w:rFonts w:hint="eastAsia" w:ascii="宋体" w:hAnsi="宋体" w:eastAsia="宋体" w:cs="宋体"/>
          <w:color w:val="000000"/>
          <w:szCs w:val="32"/>
          <w:highlight w:val="none"/>
        </w:rPr>
      </w:pPr>
      <w:r>
        <w:rPr>
          <w:rFonts w:hint="eastAsia" w:ascii="宋体" w:hAnsi="宋体" w:cs="宋体"/>
          <w:b/>
          <w:bCs/>
          <w:color w:val="000000"/>
          <w:highlight w:val="none"/>
          <w:lang w:val="en-US" w:eastAsia="zh-CN"/>
        </w:rPr>
        <w:t xml:space="preserve">三</w:t>
      </w:r>
      <w:r>
        <w:rPr>
          <w:rFonts w:hint="eastAsia" w:ascii="宋体" w:hAnsi="宋体" w:eastAsia="宋体" w:cs="宋体"/>
          <w:b/>
          <w:bCs/>
          <w:color w:val="000000"/>
          <w:highlight w:val="none"/>
        </w:rPr>
        <w:t xml:space="preserve">、技术要求及相关说明</w:t>
      </w:r>
      <w:r/>
    </w:p>
    <w:p>
      <w:pPr>
        <w:pStyle w:val="1085"/>
        <w:ind w:right="-351"/>
        <w:keepLines w:val="0"/>
        <w:keepNext w:val="0"/>
        <w:pageBreakBefore w:val="0"/>
        <w:spacing w:line="460" w:lineRule="exact"/>
        <w:rPr>
          <w:rFonts w:hint="eastAsia" w:ascii="宋体" w:hAnsi="宋体" w:eastAsia="宋体" w:cs="宋体"/>
          <w:color w:val="000000"/>
          <w:highlight w:val="none"/>
          <w:lang w:eastAsia="zh-CN"/>
        </w:rPr>
      </w:pPr>
      <w:r>
        <w:rPr>
          <w:rFonts w:hint="eastAsia" w:ascii="宋体" w:hAnsi="宋体" w:eastAsia="宋体" w:cs="宋体"/>
          <w:bCs/>
          <w:color w:val="000000"/>
          <w:sz w:val="24"/>
          <w:highlight w:val="none"/>
          <w:lang w:eastAsia="zh-CN"/>
        </w:rPr>
        <w:t xml:space="preserve">（一）</w:t>
      </w:r>
      <w:r>
        <w:rPr>
          <w:rFonts w:hint="eastAsia" w:ascii="宋体" w:hAnsi="宋体" w:cs="Arial"/>
          <w:bCs/>
          <w:color w:val="000000"/>
          <w:sz w:val="24"/>
          <w:szCs w:val="20"/>
          <w:highlight w:val="none"/>
          <w:lang w:val="en-US" w:eastAsia="zh-CN" w:bidi="ar-SA"/>
        </w:rPr>
        <w:t xml:space="preserve">升降式建筑垃圾收集箱（三套）</w:t>
      </w:r>
      <w:r>
        <w:rPr>
          <w:rFonts w:hint="eastAsia" w:ascii="宋体" w:hAnsi="宋体" w:eastAsia="宋体" w:cs="宋体"/>
          <w:bCs/>
          <w:color w:val="000000"/>
          <w:sz w:val="24"/>
          <w:highlight w:val="none"/>
          <w:lang w:val="en-US" w:eastAsia="zh-CN"/>
        </w:rPr>
        <w:t xml:space="preserve">技术</w:t>
      </w:r>
      <w:r>
        <w:rPr>
          <w:rFonts w:hint="eastAsia" w:ascii="宋体" w:hAnsi="宋体" w:eastAsia="宋体" w:cs="宋体"/>
          <w:bCs/>
          <w:color w:val="000000"/>
          <w:sz w:val="24"/>
          <w:highlight w:val="none"/>
        </w:rPr>
        <w:t xml:space="preserve">参数</w:t>
      </w:r>
      <w:r>
        <w:rPr>
          <w:rFonts w:hint="eastAsia" w:ascii="宋体" w:hAnsi="宋体" w:eastAsia="宋体" w:cs="宋体"/>
          <w:bCs/>
          <w:color w:val="000000"/>
          <w:sz w:val="24"/>
          <w:highlight w:val="none"/>
          <w:lang w:eastAsia="zh-CN"/>
        </w:rPr>
        <w:t xml:space="preserve">及要求</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设备组成</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整个设备由垃圾收集箱体、升降台、液压系统和控制系统组成</w:t>
      </w:r>
      <w:r>
        <w:rPr>
          <w:rFonts w:hint="eastAsia" w:ascii="宋体" w:hAnsi="宋体" w:cs="宋体"/>
          <w:b w:val="0"/>
          <w:bCs/>
          <w:sz w:val="24"/>
          <w:szCs w:val="24"/>
          <w:highlight w:val="none"/>
          <w:lang w:eastAsia="zh-CN"/>
        </w:rPr>
        <w:t xml:space="preserve">。</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t xml:space="preserve">箱体要求</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2.1箱体尺寸：</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长7000mm×宽2300mm×高1500mm</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2.2料口尺寸：</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长3000mm×宽2100mm</w:t>
      </w:r>
      <w:r/>
    </w:p>
    <w:p>
      <w:pPr>
        <w:pStyle w:val="1085"/>
        <w:ind w:right="-351" w:firstLine="482"/>
        <w:keepLines w:val="0"/>
        <w:keepNext w:val="0"/>
        <w:pageBreakBefore w:val="0"/>
        <w:spacing w:line="480" w:lineRule="exact"/>
        <w:widowControl/>
        <w:rPr>
          <w:rFonts w:hint="eastAsia" w:ascii="宋体" w:hAnsi="宋体" w:cs="宋体"/>
          <w:b/>
          <w:bCs w:val="0"/>
          <w:sz w:val="24"/>
          <w:szCs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2.3板材要求：设备箱体所有板材均为Q3</w:t>
      </w:r>
      <w:r>
        <w:rPr>
          <w:rFonts w:hint="eastAsia" w:ascii="宋体" w:hAnsi="宋体" w:cs="宋体"/>
          <w:b w:val="0"/>
          <w:bCs/>
          <w:sz w:val="24"/>
          <w:szCs w:val="24"/>
          <w:highlight w:val="none"/>
          <w:lang w:val="en-US" w:eastAsia="zh-CN"/>
        </w:rPr>
        <w:t xml:space="preserve">55B</w:t>
      </w:r>
      <w:r>
        <w:rPr>
          <w:rFonts w:hint="eastAsia" w:ascii="宋体" w:hAnsi="宋体" w:eastAsia="宋体" w:cs="宋体"/>
          <w:b w:val="0"/>
          <w:bCs/>
          <w:sz w:val="24"/>
          <w:szCs w:val="24"/>
          <w:highlight w:val="none"/>
          <w:lang w:val="en-US" w:eastAsia="zh-CN"/>
        </w:rPr>
        <w:t xml:space="preserve">钢板，底板厚度10mm，侧围板厚度6mm，以保证设备强度和使用寿命。</w:t>
      </w:r>
      <w:r>
        <w:rPr>
          <w:rFonts w:hint="eastAsia" w:ascii="宋体" w:hAnsi="宋体" w:cs="宋体"/>
          <w:b/>
          <w:bCs w:val="0"/>
          <w:sz w:val="24"/>
          <w:szCs w:val="24"/>
          <w:highlight w:val="none"/>
          <w:lang w:val="en-US" w:eastAsia="zh-CN"/>
        </w:rPr>
        <w:t xml:space="preserve">（</w:t>
      </w:r>
      <w:r>
        <w:rPr>
          <w:rFonts w:hint="eastAsia" w:ascii="宋体" w:hAnsi="宋体" w:eastAsia="宋体" w:cs="宋体"/>
          <w:b/>
          <w:bCs w:val="0"/>
          <w:sz w:val="24"/>
          <w:szCs w:val="24"/>
          <w:highlight w:val="none"/>
          <w:lang w:val="en-US" w:eastAsia="zh-CN"/>
        </w:rPr>
        <w:t xml:space="preserve">需提供权威部门单独的钢板合格检测报告</w:t>
      </w:r>
      <w:r>
        <w:rPr>
          <w:rFonts w:hint="eastAsia" w:ascii="宋体" w:hAnsi="宋体" w:cs="宋体"/>
          <w:b/>
          <w:bCs w:val="0"/>
          <w:sz w:val="24"/>
          <w:szCs w:val="24"/>
          <w:highlight w:val="none"/>
          <w:lang w:val="en-US" w:eastAsia="zh-CN"/>
        </w:rPr>
        <w:t xml:space="preserve">，检测报告封面须带有CMA或CNAS标志）</w:t>
      </w:r>
      <w:r/>
    </w:p>
    <w:p>
      <w:pPr>
        <w:pStyle w:val="1085"/>
        <w:ind w:right="-351" w:firstLine="482"/>
        <w:keepLines w:val="0"/>
        <w:keepNext w:val="0"/>
        <w:pageBreakBefore w:val="0"/>
        <w:spacing w:line="48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箱体油漆要求：油漆前需经过喷丸机去除钢板表面氧化层，底漆和面漆均需采用聚酯漆，经过专业喷漆房完成喷涂。</w:t>
      </w:r>
      <w:r>
        <w:rPr>
          <w:rFonts w:hint="eastAsia" w:ascii="宋体" w:hAnsi="宋体" w:eastAsia="宋体" w:cs="宋体"/>
          <w:b/>
          <w:bCs w:val="0"/>
          <w:sz w:val="24"/>
          <w:szCs w:val="24"/>
          <w:highlight w:val="none"/>
          <w:lang w:val="en-US" w:eastAsia="zh-CN"/>
        </w:rPr>
        <w:t xml:space="preserve">（油漆成分聚酯漆需</w:t>
      </w:r>
      <w:r>
        <w:rPr>
          <w:rFonts w:hint="eastAsia" w:ascii="宋体" w:hAnsi="宋体" w:cs="宋体"/>
          <w:b/>
          <w:bCs w:val="0"/>
          <w:sz w:val="24"/>
          <w:szCs w:val="24"/>
          <w:highlight w:val="none"/>
          <w:lang w:val="en-US" w:eastAsia="zh-CN"/>
        </w:rPr>
        <w:t xml:space="preserve">提供相关证明材料</w:t>
      </w:r>
      <w:r>
        <w:rPr>
          <w:rFonts w:hint="eastAsia" w:ascii="宋体" w:hAnsi="宋体" w:eastAsia="宋体" w:cs="宋体"/>
          <w:b/>
          <w:bCs w:val="0"/>
          <w:sz w:val="24"/>
          <w:szCs w:val="24"/>
          <w:highlight w:val="none"/>
          <w:lang w:val="en-US" w:eastAsia="zh-CN"/>
        </w:rPr>
        <w:t xml:space="preserve">）</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箱体顶部仓门采用液压油缸打开和关闭。</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箱体后门采用液压油缸实现锁紧和打开，需与环卫部门现有钩臂式垃圾车配套。</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升降台要求</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3.1升降台尺寸：</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长7000mm×宽2500mm×高3000mm</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3.2升降</w:t>
      </w:r>
      <w:r>
        <w:rPr>
          <w:rFonts w:hint="eastAsia" w:ascii="宋体" w:hAnsi="宋体" w:eastAsia="宋体" w:cs="宋体"/>
          <w:b w:val="0"/>
          <w:bCs/>
          <w:sz w:val="24"/>
          <w:szCs w:val="24"/>
          <w:highlight w:val="none"/>
        </w:rPr>
        <w:t xml:space="preserve">油缸</w:t>
      </w:r>
      <w:r>
        <w:rPr>
          <w:rFonts w:hint="eastAsia" w:ascii="宋体" w:hAnsi="宋体" w:eastAsia="宋体" w:cs="宋体"/>
          <w:b w:val="0"/>
          <w:bCs/>
          <w:sz w:val="24"/>
          <w:szCs w:val="24"/>
          <w:highlight w:val="none"/>
          <w:lang w:eastAsia="zh-CN"/>
        </w:rPr>
        <w:t xml:space="preserve">尺寸：</w:t>
      </w:r>
      <w:r>
        <w:rPr>
          <w:rFonts w:hint="eastAsia" w:ascii="宋体" w:hAnsi="宋体" w:eastAsia="宋体" w:cs="宋体"/>
          <w:b w:val="0"/>
          <w:bCs/>
          <w:sz w:val="24"/>
          <w:szCs w:val="24"/>
          <w:highlight w:val="none"/>
        </w:rPr>
        <w:t xml:space="preserve">外径≥232mm，三节缸缸径分别为≥200mm、≥170mm、≥140mm</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三节缸杆径分别为≥190mm、≥160mm、≥130mm；</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3.3升降台行程：</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2500mm</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3.4升降台举升质量：</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50T</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3.5</w:t>
      </w:r>
      <w:r>
        <w:rPr>
          <w:rFonts w:hint="eastAsia" w:ascii="宋体" w:hAnsi="宋体" w:eastAsia="宋体" w:cs="宋体"/>
          <w:b w:val="0"/>
          <w:bCs/>
          <w:sz w:val="24"/>
          <w:szCs w:val="24"/>
          <w:highlight w:val="none"/>
          <w:lang w:eastAsia="zh-CN"/>
        </w:rPr>
        <w:t xml:space="preserve">升降台</w:t>
      </w:r>
      <w:r>
        <w:rPr>
          <w:rFonts w:hint="eastAsia" w:ascii="宋体" w:hAnsi="宋体" w:eastAsia="宋体" w:cs="宋体"/>
          <w:b w:val="0"/>
          <w:bCs/>
          <w:sz w:val="24"/>
          <w:szCs w:val="24"/>
          <w:highlight w:val="none"/>
        </w:rPr>
        <w:t xml:space="preserve">举升方式：箱体底部双缸垂直安装，通过四根导向柱和两侧装有的八只导向轮进行导向举升，导向轮材质为球墨铸铁；</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液压系统</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4.1</w:t>
      </w:r>
      <w:r>
        <w:rPr>
          <w:rFonts w:hint="eastAsia" w:ascii="宋体" w:hAnsi="宋体" w:eastAsia="宋体" w:cs="宋体"/>
          <w:b w:val="0"/>
          <w:bCs/>
          <w:sz w:val="24"/>
          <w:szCs w:val="24"/>
          <w:highlight w:val="none"/>
        </w:rPr>
        <w:t xml:space="preserve">液压系统工作压力（MPA）：≥16；</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4.2</w:t>
      </w:r>
      <w:r>
        <w:rPr>
          <w:rFonts w:hint="eastAsia" w:ascii="宋体" w:hAnsi="宋体" w:eastAsia="宋体" w:cs="宋体"/>
          <w:b w:val="0"/>
          <w:bCs/>
          <w:sz w:val="24"/>
          <w:szCs w:val="24"/>
          <w:highlight w:val="none"/>
        </w:rPr>
        <w:t xml:space="preserve">液压系统最高压力（MPA）：≥28；</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4.3</w:t>
      </w:r>
      <w:r>
        <w:rPr>
          <w:rFonts w:hint="eastAsia" w:ascii="宋体" w:hAnsi="宋体" w:eastAsia="宋体" w:cs="宋体"/>
          <w:b w:val="0"/>
          <w:bCs/>
          <w:sz w:val="24"/>
          <w:szCs w:val="24"/>
          <w:highlight w:val="none"/>
        </w:rPr>
        <w:t xml:space="preserve">液压泵：柱塞泵；</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4.4</w:t>
      </w:r>
      <w:r>
        <w:rPr>
          <w:rFonts w:hint="eastAsia" w:ascii="宋体" w:hAnsi="宋体" w:eastAsia="宋体" w:cs="宋体"/>
          <w:b w:val="0"/>
          <w:bCs/>
          <w:sz w:val="24"/>
          <w:szCs w:val="24"/>
          <w:highlight w:val="none"/>
        </w:rPr>
        <w:t xml:space="preserve">液压元件：采用国内知名品牌；</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液压油箱：满足设备工作用油和散热功能；</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5</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t xml:space="preserve">控制系统</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5.1</w:t>
      </w:r>
      <w:r>
        <w:rPr>
          <w:rFonts w:hint="eastAsia" w:ascii="宋体" w:hAnsi="宋体" w:eastAsia="宋体" w:cs="宋体"/>
          <w:b w:val="0"/>
          <w:bCs/>
          <w:sz w:val="24"/>
          <w:szCs w:val="24"/>
          <w:highlight w:val="none"/>
        </w:rPr>
        <w:t xml:space="preserve">控制柜：采用</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1.5mm全304不锈钢材质，坚固耐用</w:t>
      </w:r>
      <w:r>
        <w:rPr>
          <w:rFonts w:hint="eastAsia" w:ascii="宋体" w:hAnsi="宋体" w:cs="宋体"/>
          <w:b w:val="0"/>
          <w:bCs/>
          <w:sz w:val="24"/>
          <w:szCs w:val="24"/>
          <w:highlight w:val="none"/>
          <w:lang w:eastAsia="zh-CN"/>
        </w:rPr>
        <w:t xml:space="preserve">；</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5.2操作屏采用纯液晶显示触摸屏，界面简洁、美观、易操作；</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5.3电器元件：均采用国内知名品牌</w:t>
      </w:r>
      <w:r>
        <w:rPr>
          <w:rFonts w:hint="eastAsia" w:ascii="宋体" w:hAnsi="宋体" w:cs="宋体"/>
          <w:b w:val="0"/>
          <w:bCs/>
          <w:sz w:val="24"/>
          <w:szCs w:val="24"/>
          <w:highlight w:val="none"/>
          <w:lang w:val="en-US" w:eastAsia="zh-CN"/>
        </w:rPr>
        <w:t xml:space="preserve">；</w:t>
      </w:r>
      <w:r/>
    </w:p>
    <w:p>
      <w:pPr>
        <w:pStyle w:val="1085"/>
        <w:ind w:right="-351" w:firstLine="480"/>
        <w:keepLines w:val="0"/>
        <w:keepNext w:val="0"/>
        <w:pageBreakBefore w:val="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 w:val="0"/>
          <w:bCs/>
          <w:sz w:val="24"/>
          <w:szCs w:val="24"/>
          <w:highlight w:val="none"/>
          <w:lang w:val="en-US" w:eastAsia="zh-CN"/>
        </w:rPr>
        <w:t xml:space="preserve">5.4</w:t>
      </w:r>
      <w:r>
        <w:rPr>
          <w:rFonts w:hint="eastAsia" w:ascii="宋体" w:hAnsi="宋体" w:eastAsia="宋体" w:cs="宋体"/>
          <w:b w:val="0"/>
          <w:bCs/>
          <w:sz w:val="24"/>
          <w:szCs w:val="24"/>
          <w:highlight w:val="none"/>
        </w:rPr>
        <w:t xml:space="preserve">电器线路安全：</w:t>
      </w:r>
      <w:r>
        <w:rPr>
          <w:rFonts w:hint="eastAsia" w:ascii="宋体" w:hAnsi="宋体" w:cs="宋体"/>
          <w:b w:val="0"/>
          <w:bCs/>
          <w:sz w:val="24"/>
          <w:szCs w:val="24"/>
          <w:highlight w:val="none"/>
          <w:lang w:val="en-US" w:eastAsia="zh-CN"/>
        </w:rPr>
        <w:t xml:space="preserve">符</w:t>
      </w:r>
      <w:r>
        <w:rPr>
          <w:rFonts w:hint="eastAsia" w:ascii="宋体" w:hAnsi="宋体" w:eastAsia="宋体" w:cs="宋体"/>
          <w:b w:val="0"/>
          <w:bCs/>
          <w:sz w:val="24"/>
          <w:szCs w:val="24"/>
          <w:highlight w:val="none"/>
          <w:lang w:val="en-US" w:eastAsia="zh-CN"/>
        </w:rPr>
        <w:t xml:space="preserve">合国家有关安全规定，采用24V安全电压操作，设置有超负荷保险装置；</w:t>
      </w:r>
      <w:r>
        <w:rPr>
          <w:rFonts w:hint="eastAsia" w:ascii="宋体" w:hAnsi="宋体" w:eastAsia="宋体" w:cs="宋体"/>
          <w:b w:val="0"/>
          <w:bCs/>
          <w:sz w:val="24"/>
          <w:szCs w:val="24"/>
          <w:highlight w:val="none"/>
        </w:rPr>
        <w:t xml:space="preserve">电器部分必须有接地装置和接地标志，应有防水、防尘措施。各元器件和线路应排列整齐，连接牢固，走线分明，绝缘可靠。</w:t>
      </w:r>
      <w:r>
        <w:rPr>
          <w:rFonts w:hint="eastAsia" w:ascii="宋体" w:hAnsi="宋体" w:eastAsia="宋体" w:cs="宋体"/>
          <w:b w:val="0"/>
          <w:bCs/>
          <w:sz w:val="24"/>
          <w:szCs w:val="24"/>
          <w:highlight w:val="none"/>
          <w:lang w:val="en-US" w:eastAsia="zh-CN"/>
        </w:rPr>
        <w:t xml:space="preserve">各接地之间的保护电路应具有连续性，其接地电阻不大于0.1Ω。电力设备的所有电路导线和保护接地电路之间应经受≥5s、1000V以上的耐压试验，不能出现击穿或闪络的现象</w:t>
      </w:r>
      <w:r>
        <w:rPr>
          <w:rFonts w:hint="eastAsia" w:ascii="宋体" w:hAnsi="宋体" w:cs="宋体"/>
          <w:b w:val="0"/>
          <w:bCs/>
          <w:sz w:val="24"/>
          <w:szCs w:val="24"/>
          <w:highlight w:val="none"/>
          <w:lang w:val="en-US" w:eastAsia="zh-CN"/>
        </w:rPr>
        <w:t xml:space="preserve">。</w:t>
      </w:r>
      <w:r/>
    </w:p>
    <w:p>
      <w:pPr>
        <w:pStyle w:val="1085"/>
        <w:ind w:right="-351"/>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（二）</w:t>
      </w:r>
      <w:r>
        <w:rPr>
          <w:rFonts w:hint="eastAsia" w:ascii="宋体" w:hAnsi="宋体" w:cs="Arial"/>
          <w:bCs/>
          <w:color w:val="000000"/>
          <w:sz w:val="24"/>
          <w:szCs w:val="20"/>
          <w:highlight w:val="none"/>
          <w:lang w:val="en-US" w:eastAsia="zh-CN" w:bidi="ar-SA"/>
        </w:rPr>
        <w:t xml:space="preserve">钩臂式建筑垃圾收集箱（三套）</w:t>
      </w:r>
      <w:r>
        <w:rPr>
          <w:rFonts w:hint="eastAsia" w:ascii="宋体" w:hAnsi="宋体" w:eastAsia="宋体" w:cs="宋体"/>
          <w:bCs/>
          <w:color w:val="000000"/>
          <w:sz w:val="24"/>
          <w:highlight w:val="none"/>
          <w:lang w:eastAsia="zh-CN"/>
        </w:rPr>
        <w:t xml:space="preserve">技术</w:t>
      </w:r>
      <w:r>
        <w:rPr>
          <w:rFonts w:hint="eastAsia" w:ascii="宋体" w:hAnsi="宋体" w:eastAsia="宋体" w:cs="宋体"/>
          <w:bCs/>
          <w:color w:val="000000"/>
          <w:sz w:val="24"/>
          <w:highlight w:val="none"/>
        </w:rPr>
        <w:t xml:space="preserve">参数</w:t>
      </w:r>
      <w:r>
        <w:rPr>
          <w:rFonts w:hint="eastAsia" w:ascii="宋体" w:hAnsi="宋体" w:eastAsia="宋体" w:cs="宋体"/>
          <w:bCs/>
          <w:color w:val="000000"/>
          <w:sz w:val="24"/>
          <w:highlight w:val="none"/>
          <w:lang w:eastAsia="zh-CN"/>
        </w:rPr>
        <w:t xml:space="preserve">及要求</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箱体尺寸：</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长5500mm×宽2300mm×高1000mm</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料口尺寸：</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长2000mm×宽2100mm</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板材要求：箱体所有板材均为Q3</w:t>
      </w:r>
      <w:r>
        <w:rPr>
          <w:rFonts w:hint="eastAsia" w:ascii="宋体" w:hAnsi="宋体" w:cs="宋体"/>
          <w:b w:val="0"/>
          <w:bCs/>
          <w:sz w:val="24"/>
          <w:szCs w:val="24"/>
          <w:highlight w:val="none"/>
          <w:lang w:val="en-US" w:eastAsia="zh-CN"/>
        </w:rPr>
        <w:t xml:space="preserve">55B</w:t>
      </w:r>
      <w:r>
        <w:rPr>
          <w:rFonts w:hint="eastAsia" w:ascii="宋体" w:hAnsi="宋体" w:eastAsia="宋体" w:cs="宋体"/>
          <w:b w:val="0"/>
          <w:bCs/>
          <w:sz w:val="24"/>
          <w:szCs w:val="24"/>
          <w:highlight w:val="none"/>
          <w:lang w:val="en-US" w:eastAsia="zh-CN"/>
        </w:rPr>
        <w:t xml:space="preserve">钢板，底板厚度10mm，侧围板厚度6mm，以保证设备强度和使用寿命。</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箱体油漆要求：油漆前需经过喷丸机去除钢板表面氧化层，底漆和面漆均需采用聚酯漆，经过专业喷漆房完成喷涂。</w:t>
      </w:r>
      <w:r/>
    </w:p>
    <w:p>
      <w:pPr>
        <w:pStyle w:val="1085"/>
        <w:ind w:right="-351" w:firstLine="480"/>
        <w:keepLines w:val="0"/>
        <w:keepNext w:val="0"/>
        <w:pageBreakBefore w:val="0"/>
        <w:spacing w:line="480" w:lineRule="exact"/>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箱体顶部仓门采用液压油缸打开和关闭。</w:t>
      </w:r>
      <w:r/>
    </w:p>
    <w:p>
      <w:pPr>
        <w:pStyle w:val="1085"/>
        <w:ind w:right="-351" w:firstLine="480"/>
        <w:keepLines w:val="0"/>
        <w:keepNext w:val="0"/>
        <w:pageBreakBefore w:val="0"/>
        <w:spacing w:line="480" w:lineRule="exact"/>
        <w:widowControl/>
        <w:rPr>
          <w:rFonts w:hint="eastAsia" w:ascii="宋体" w:hAnsi="宋体" w:eastAsia="宋体" w:cs="宋体"/>
          <w:b/>
          <w:sz w:val="24"/>
          <w:szCs w:val="24"/>
          <w:highlight w:val="none"/>
          <w:lang w:eastAsia="zh-CN"/>
        </w:rPr>
      </w:pP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箱体后门采用液压油缸实现锁紧和打开，需与环卫部门现有钩臂式垃圾车配套。</w:t>
      </w:r>
      <w:r/>
    </w:p>
    <w:p>
      <w:pPr>
        <w:pStyle w:val="1085"/>
        <w:numPr>
          <w:ilvl w:val="0"/>
          <w:numId w:val="0"/>
        </w:numPr>
        <w:ind w:right="-351"/>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eastAsia="宋体" w:cs="宋体"/>
          <w:b/>
          <w:bCs/>
          <w:color w:val="000000"/>
          <w:sz w:val="24"/>
          <w:highlight w:val="none"/>
          <w:lang w:val="en-US" w:eastAsia="zh-CN" w:bidi="ar-SA"/>
        </w:rPr>
        <w:t xml:space="preserve">（三）</w:t>
      </w:r>
      <w:r>
        <w:rPr>
          <w:rFonts w:hint="eastAsia" w:ascii="宋体" w:hAnsi="宋体" w:cs="Arial"/>
          <w:bCs/>
          <w:color w:val="000000"/>
          <w:sz w:val="24"/>
          <w:szCs w:val="20"/>
          <w:highlight w:val="none"/>
          <w:lang w:val="en-US" w:eastAsia="zh-CN" w:bidi="ar-SA"/>
        </w:rPr>
        <w:t xml:space="preserve">降尘设备（三套）</w:t>
      </w:r>
      <w:r>
        <w:rPr>
          <w:rFonts w:hint="eastAsia" w:ascii="宋体" w:hAnsi="宋体" w:eastAsia="宋体" w:cs="宋体"/>
          <w:bCs/>
          <w:color w:val="000000"/>
          <w:sz w:val="24"/>
          <w:highlight w:val="none"/>
          <w:lang w:eastAsia="zh-CN"/>
        </w:rPr>
        <w:t xml:space="preserve">技术</w:t>
      </w:r>
      <w:r>
        <w:rPr>
          <w:rFonts w:hint="eastAsia" w:ascii="宋体" w:hAnsi="宋体" w:eastAsia="宋体" w:cs="宋体"/>
          <w:bCs/>
          <w:color w:val="000000"/>
          <w:sz w:val="24"/>
          <w:highlight w:val="none"/>
        </w:rPr>
        <w:t xml:space="preserve">参数</w:t>
      </w:r>
      <w:r>
        <w:rPr>
          <w:rFonts w:hint="eastAsia" w:ascii="宋体" w:hAnsi="宋体" w:eastAsia="宋体" w:cs="宋体"/>
          <w:bCs/>
          <w:color w:val="000000"/>
          <w:sz w:val="24"/>
          <w:highlight w:val="none"/>
          <w:lang w:eastAsia="zh-CN"/>
        </w:rPr>
        <w:t xml:space="preserve">及要求</w:t>
      </w:r>
      <w:r/>
    </w:p>
    <w:tbl>
      <w:tblPr>
        <w:tblStyle w:val="877"/>
        <w:tblW w:w="10055"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572"/>
        <w:gridCol w:w="1995"/>
        <w:gridCol w:w="855"/>
        <w:gridCol w:w="5633"/>
      </w:tblGrid>
      <w:tr>
        <w:trPr>
          <w:cantSplit/>
          <w:jc w:val="center"/>
          <w:trHeight w:val="497"/>
        </w:trPr>
        <w:tc>
          <w:tcPr>
            <w:gridSpan w:val="2"/>
            <w:tcBorders>
              <w:top w:val="single" w:color="auto" w:sz="8" w:space="0"/>
              <w:left w:val="single" w:color="auto" w:sz="8" w:space="0"/>
              <w:bottom w:val="single" w:color="auto" w:sz="8" w:space="0"/>
              <w:right w:val="single" w:color="auto" w:sz="8" w:space="0"/>
            </w:tcBorders>
            <w:tcMar>
              <w:left w:w="108" w:type="dxa"/>
              <w:right w:w="108" w:type="dxa"/>
            </w:tcMar>
            <w:tcW w:w="3567"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  称</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数量</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技术参数</w:t>
            </w:r>
            <w:r/>
          </w:p>
        </w:tc>
      </w:tr>
      <w:tr>
        <w:trPr>
          <w:cantSplit/>
          <w:jc w:val="center"/>
          <w:trHeight w:val="289"/>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restart"/>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主控制器</w:t>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主体外壳</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1套</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shd w:val="clear" w:color="auto" w:fill="ffffff"/>
                <w:lang w:bidi="ar"/>
              </w:rPr>
              <w:t xml:space="preserve">≥900×500×1300mm，SUS304不锈钢，厚度≥1.2mm。</w:t>
            </w:r>
            <w:r/>
          </w:p>
        </w:tc>
      </w:tr>
      <w:tr>
        <w:trPr>
          <w:cantSplit/>
          <w:jc w:val="center"/>
          <w:trHeight w:val="289"/>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高压泵</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1台</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转速：1200（r/m），流量：</w:t>
            </w:r>
            <w:r>
              <w:rPr>
                <w:rFonts w:hint="eastAsia" w:ascii="宋体" w:hAnsi="宋体" w:eastAsia="宋体" w:cs="宋体"/>
                <w:bCs/>
                <w:sz w:val="24"/>
                <w:szCs w:val="24"/>
                <w:highlight w:val="none"/>
                <w:shd w:val="clear" w:color="auto" w:fill="ffffff"/>
                <w:lang w:bidi="ar"/>
              </w:rPr>
              <w:t xml:space="preserve">10L/min，功率：1.5kW</w:t>
            </w:r>
            <w:r/>
          </w:p>
        </w:tc>
      </w:tr>
      <w:tr>
        <w:trPr>
          <w:cantSplit/>
          <w:jc w:val="center"/>
          <w:trHeight w:val="289"/>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溶液储箱</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1个</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不锈钢箱体</w:t>
            </w:r>
            <w:r/>
          </w:p>
        </w:tc>
      </w:tr>
      <w:tr>
        <w:trPr>
          <w:cantSplit/>
          <w:jc w:val="center"/>
          <w:trHeight w:val="289"/>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控制系统</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1套</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pStyle w:val="895"/>
              <w:jc w:val="both"/>
              <w:spacing w:beforeAutospacing="0" w:afterAutospacing="0"/>
              <w:shd w:val="clear" w:color="auto" w:fill="ffffff"/>
              <w:rPr>
                <w:rFonts w:hint="eastAsia" w:ascii="宋体" w:hAnsi="宋体" w:eastAsia="宋体" w:cs="宋体"/>
                <w:sz w:val="24"/>
                <w:szCs w:val="24"/>
                <w:highlight w:val="none"/>
              </w:rPr>
            </w:pPr>
            <w:r>
              <w:rPr>
                <w:rFonts w:hint="eastAsia" w:ascii="宋体" w:hAnsi="宋体" w:eastAsia="宋体" w:cs="宋体"/>
                <w:bCs/>
                <w:sz w:val="24"/>
                <w:szCs w:val="24"/>
                <w:highlight w:val="none"/>
                <w:shd w:val="clear" w:color="auto" w:fill="ffffff"/>
                <w:lang w:bidi="ar"/>
              </w:rPr>
              <w:t xml:space="preserve">分手动、自动两种操作模式</w:t>
            </w:r>
            <w:r/>
          </w:p>
        </w:tc>
      </w:tr>
      <w:tr>
        <w:trPr>
          <w:cantSplit/>
          <w:jc w:val="center"/>
          <w:trHeight w:val="263"/>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计量泵</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1台</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流量0.9L/H、压力17Bar、电压220V、功率50Hz</w:t>
            </w:r>
            <w:r/>
          </w:p>
        </w:tc>
      </w:tr>
      <w:tr>
        <w:trPr>
          <w:cantSplit/>
          <w:jc w:val="center"/>
          <w:trHeight w:val="263"/>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电磁阀</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1个</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220V，常闭，承压10kgf/cm2</w:t>
            </w:r>
            <w:r/>
          </w:p>
        </w:tc>
      </w:tr>
      <w:tr>
        <w:trPr>
          <w:cantSplit/>
          <w:jc w:val="center"/>
          <w:trHeight w:val="860"/>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雾化装置</w:t>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喷嘴</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1项</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采用三层雾化喷嘴、中间附有过滤网防堵塞</w:t>
            </w:r>
            <w:r/>
          </w:p>
        </w:tc>
      </w:tr>
      <w:tr>
        <w:trPr>
          <w:cantSplit/>
          <w:jc w:val="center"/>
          <w:trHeight w:val="325"/>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restart"/>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专用输液管路及配件</w:t>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管道</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1批</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Ø9.0×0.8mm</w:t>
            </w:r>
            <w:r/>
          </w:p>
        </w:tc>
      </w:tr>
      <w:tr>
        <w:trPr>
          <w:cantSplit/>
          <w:jc w:val="center"/>
          <w:trHeight w:val="329"/>
        </w:trPr>
        <w:tc>
          <w:tcPr>
            <w:tcBorders>
              <w:top w:val="single" w:color="auto" w:sz="8" w:space="0"/>
              <w:left w:val="single" w:color="auto" w:sz="8" w:space="0"/>
              <w:bottom w:val="single" w:color="auto" w:sz="8" w:space="0"/>
              <w:right w:val="single" w:color="auto" w:sz="8" w:space="0"/>
            </w:tcBorders>
            <w:tcMar>
              <w:left w:w="108" w:type="dxa"/>
              <w:right w:w="108" w:type="dxa"/>
            </w:tcMar>
            <w:tcW w:w="157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Mar>
              <w:left w:w="108" w:type="dxa"/>
              <w:right w:w="108" w:type="dxa"/>
            </w:tcMar>
            <w:tcW w:w="1995"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管道配件、阀门、支架等其他辅助设施</w:t>
            </w:r>
            <w:r/>
          </w:p>
        </w:tc>
        <w:tc>
          <w:tcPr>
            <w:tcBorders>
              <w:top w:val="single" w:color="auto" w:sz="8" w:space="0"/>
              <w:left w:val="single" w:color="auto" w:sz="8" w:space="0"/>
              <w:bottom w:val="single" w:color="auto" w:sz="8" w:space="0"/>
              <w:right w:val="single" w:color="auto" w:sz="8" w:space="0"/>
            </w:tcBorders>
            <w:tcMar>
              <w:left w:w="108" w:type="dxa"/>
              <w:right w:w="108" w:type="dxa"/>
            </w:tcMar>
            <w:tcW w:w="855"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1批</w:t>
            </w:r>
            <w:r/>
          </w:p>
        </w:tc>
        <w:tc>
          <w:tcPr>
            <w:tcBorders>
              <w:top w:val="single" w:color="auto" w:sz="8" w:space="0"/>
              <w:left w:val="single" w:color="auto" w:sz="8" w:space="0"/>
              <w:bottom w:val="single" w:color="auto" w:sz="8" w:space="0"/>
              <w:right w:val="single" w:color="auto" w:sz="8" w:space="0"/>
            </w:tcBorders>
            <w:tcMar>
              <w:left w:w="108" w:type="dxa"/>
              <w:right w:w="108" w:type="dxa"/>
            </w:tcMar>
            <w:tcW w:w="5633" w:type="dxa"/>
            <w:vAlign w:val="center"/>
            <w:textDirection w:val="lrTb"/>
            <w:noWrap w:val="false"/>
          </w:tcPr>
          <w:p>
            <w:pPr>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与管道配套</w:t>
            </w:r>
            <w:r/>
          </w:p>
        </w:tc>
      </w:tr>
    </w:tbl>
    <w:p>
      <w:pPr>
        <w:pStyle w:val="1085"/>
        <w:numPr>
          <w:ilvl w:val="0"/>
          <w:numId w:val="0"/>
        </w:numPr>
        <w:ind w:right="-351"/>
        <w:keepLines w:val="0"/>
        <w:keepNext w:val="0"/>
        <w:pageBreakBefore w:val="0"/>
        <w:spacing w:line="480" w:lineRule="exact"/>
        <w:widowControl/>
        <w:rPr>
          <w:rFonts w:hint="eastAsia" w:ascii="宋体" w:hAnsi="宋体" w:cs="Arial"/>
          <w:bCs/>
          <w:color w:val="000000"/>
          <w:sz w:val="24"/>
          <w:szCs w:val="20"/>
          <w:highlight w:val="none"/>
          <w:lang w:val="en-US" w:eastAsia="zh-CN" w:bidi="ar-SA"/>
        </w:rPr>
      </w:pPr>
      <w:r>
        <w:rPr>
          <w:rFonts w:hint="eastAsia" w:ascii="宋体" w:hAnsi="宋体" w:eastAsia="宋体" w:cs="Arial"/>
          <w:b/>
          <w:bCs/>
          <w:color w:val="000000"/>
          <w:sz w:val="24"/>
          <w:szCs w:val="20"/>
          <w:highlight w:val="none"/>
          <w:lang w:val="en-US" w:eastAsia="zh-CN" w:bidi="ar-SA"/>
        </w:rPr>
        <w:t xml:space="preserve">（四）</w:t>
      </w:r>
      <w:r>
        <w:rPr>
          <w:rFonts w:hint="eastAsia" w:ascii="宋体" w:hAnsi="宋体" w:cs="Arial"/>
          <w:bCs/>
          <w:color w:val="000000"/>
          <w:sz w:val="24"/>
          <w:szCs w:val="20"/>
          <w:highlight w:val="none"/>
          <w:lang w:val="en-US" w:eastAsia="zh-CN" w:bidi="ar-SA"/>
        </w:rPr>
        <w:t xml:space="preserve">垃圾压缩设备的大推缸和整体提升油缸</w:t>
      </w:r>
      <w:r/>
    </w:p>
    <w:tbl>
      <w:tblPr>
        <w:tblStyle w:val="877"/>
        <w:tblW w:w="521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37"/>
        <w:gridCol w:w="1075"/>
        <w:gridCol w:w="5966"/>
        <w:gridCol w:w="1519"/>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技术参数</w:t>
            </w:r>
            <w:r/>
          </w:p>
        </w:tc>
        <w:tc>
          <w:tcPr>
            <w:shd w:val="clear" w:color="auto" w:fill="auto"/>
            <w:tcBorders>
              <w:top w:val="single" w:color="000000" w:sz="4" w:space="0"/>
              <w:left w:val="single" w:color="000000" w:sz="4" w:space="0"/>
              <w:right w:val="single" w:color="000000" w:sz="4" w:space="0"/>
            </w:tcBorders>
            <w:tcW w:w="752" w:type="pct"/>
            <w:vAlign w:val="center"/>
            <w:vMerge w:val="restart"/>
            <w:textDirection w:val="lrTb"/>
            <w:noWrap w:val="false"/>
          </w:tcPr>
          <w:p>
            <w:pPr>
              <w:numPr>
                <w:ilvl w:val="0"/>
                <w:numId w:val="0"/>
              </w:numPr>
              <w:jc w:val="both"/>
              <w:keepLines w:val="0"/>
              <w:keepNext w:val="0"/>
              <w:widowControl/>
              <w:rPr>
                <w:rFonts w:hint="eastAsia" w:ascii="宋体" w:hAnsi="宋体" w:cs="宋体"/>
                <w:b w:val="0"/>
                <w:bCs/>
                <w:sz w:val="24"/>
                <w:szCs w:val="24"/>
                <w:highlight w:val="none"/>
                <w:lang w:val="en-US" w:eastAsia="zh-CN"/>
              </w:rPr>
              <w:suppressLineNumbers w:val="0"/>
            </w:pPr>
            <w:r>
              <w:rPr>
                <w:rFonts w:hint="eastAsia" w:ascii="宋体" w:hAnsi="宋体" w:cs="宋体"/>
                <w:b w:val="0"/>
                <w:bCs/>
                <w:sz w:val="24"/>
                <w:szCs w:val="24"/>
                <w:highlight w:val="none"/>
                <w:lang w:val="en-US" w:eastAsia="zh-CN"/>
              </w:rPr>
              <w:t xml:space="preserve">注：</w:t>
            </w:r>
            <w:r/>
          </w:p>
          <w:p>
            <w:pPr>
              <w:numPr>
                <w:ilvl w:val="0"/>
                <w:numId w:val="0"/>
              </w:num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设备维修</w:t>
            </w:r>
            <w:r/>
          </w:p>
          <w:p>
            <w:pPr>
              <w:numPr>
                <w:ilvl w:val="0"/>
                <w:numId w:val="0"/>
              </w:num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lang w:val="en-US" w:eastAsia="zh-CN"/>
              </w:rPr>
              <w:t xml:space="preserve">要求必须与现有垃圾压缩设备配套</w:t>
            </w:r>
            <w:r>
              <w:rPr>
                <w:rFonts w:hint="eastAsia" w:ascii="宋体" w:hAnsi="宋体" w:cs="宋体"/>
                <w:b w:val="0"/>
                <w:bCs/>
                <w:sz w:val="24"/>
                <w:szCs w:val="24"/>
                <w:highlight w:val="none"/>
                <w:lang w:val="en-US" w:eastAsia="zh-CN"/>
              </w:rPr>
              <w:t xml:space="preserve">。</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大推缸维修</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4根</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高压无缝管</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Φ299*25*2010mm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Φ245*28*2070mm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Φ194*32*2090mm</w:t>
            </w:r>
            <w:r/>
          </w:p>
        </w:tc>
        <w:tc>
          <w:tcPr>
            <w:shd w:val="clear" w:color="auto" w:fill="auto"/>
            <w:tcBorders>
              <w:left w:val="single" w:color="000000" w:sz="4" w:space="0"/>
              <w:right w:val="single" w:color="000000" w:sz="4" w:space="0"/>
            </w:tcBorders>
            <w:tcW w:w="75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大推缸密封圈</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4套</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进口密封圈</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格莱圈260*8.1</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 200*8.1</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 140*8.1</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斯特封180*6.3</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 120*6.3</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防尘圈120*136*7</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180*200*7</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BD 120*140*14.5</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180*205*18.5</w:t>
            </w:r>
            <w:r/>
          </w:p>
        </w:tc>
        <w:tc>
          <w:tcPr>
            <w:shd w:val="clear" w:color="auto" w:fill="auto"/>
            <w:tcBorders>
              <w:left w:val="single" w:color="000000" w:sz="4" w:space="0"/>
              <w:right w:val="single" w:color="000000" w:sz="4" w:space="0"/>
            </w:tcBorders>
            <w:tcW w:w="75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液压油</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2720kg</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1、设备维修后补充液压油</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2、46#耐磨液压油</w:t>
            </w:r>
            <w:r/>
          </w:p>
        </w:tc>
        <w:tc>
          <w:tcPr>
            <w:shd w:val="clear" w:color="auto" w:fill="auto"/>
            <w:tcBorders>
              <w:left w:val="single" w:color="000000" w:sz="4" w:space="0"/>
              <w:right w:val="single" w:color="000000" w:sz="4" w:space="0"/>
            </w:tcBorders>
            <w:tcW w:w="75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整体提升油缸维修</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10根</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高压无缝管</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Φ232*22*1173mm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Φ203*20*1175mm</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Φ168*20*1175mm</w:t>
            </w:r>
            <w:r/>
          </w:p>
        </w:tc>
        <w:tc>
          <w:tcPr>
            <w:shd w:val="clear" w:color="auto" w:fill="auto"/>
            <w:tcBorders>
              <w:left w:val="single" w:color="000000" w:sz="4" w:space="0"/>
              <w:right w:val="single" w:color="000000" w:sz="4" w:space="0"/>
            </w:tcBorders>
            <w:tcW w:w="75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整体提升油缸密封圈</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10套</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进口密封圈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DH190*203*7</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160*173*7</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130*143*7</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斯特封190*6.3</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160*6.3</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130*6.3</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UN190*205*15</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160*175*15</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130*145*15</w:t>
            </w:r>
            <w:r/>
          </w:p>
        </w:tc>
        <w:tc>
          <w:tcPr>
            <w:shd w:val="clear" w:color="auto" w:fill="auto"/>
            <w:tcBorders>
              <w:left w:val="single" w:color="000000" w:sz="4" w:space="0"/>
              <w:right w:val="single" w:color="000000" w:sz="4" w:space="0"/>
            </w:tcBorders>
            <w:tcW w:w="75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设备更换</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液压系统工作压力≥18mpa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垃圾箱最大容积3600*2400*1850mm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配套电动机功率≥6.6kw</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主液压顶行程≥3480mm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材质要求地板3mm、边板3mm、顶板（花纹板）3mm、角钢、槽钢，均为国标</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本设备以液压、机械传动为一体；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设备要求上升用电、下降时不用电，有节能型要求功能</w:t>
            </w:r>
            <w:r/>
          </w:p>
        </w:tc>
        <w:tc>
          <w:tcPr>
            <w:shd w:val="clear" w:color="auto" w:fill="auto"/>
            <w:tcBorders>
              <w:left w:val="single" w:color="000000" w:sz="4" w:space="0"/>
              <w:bottom w:val="single" w:color="000000" w:sz="4" w:space="0"/>
              <w:right w:val="single" w:color="000000" w:sz="4" w:space="0"/>
            </w:tcBorders>
            <w:tcW w:w="75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numPr>
          <w:ilvl w:val="0"/>
          <w:numId w:val="3"/>
        </w:numPr>
        <w:keepLines w:val="0"/>
        <w:keepNext w:val="0"/>
        <w:pageBreakBefore w:val="0"/>
        <w:spacing w:line="480" w:lineRule="exact"/>
        <w:tabs>
          <w:tab w:val="left" w:pos="900" w:leader="none"/>
        </w:tabs>
        <w:rPr>
          <w:rFonts w:hint="eastAsia" w:ascii="宋体" w:hAnsi="宋体" w:cs="Arial"/>
          <w:b/>
          <w:bCs w:val="0"/>
          <w:color w:val="000000"/>
          <w:sz w:val="24"/>
          <w:szCs w:val="20"/>
          <w:highlight w:val="none"/>
          <w:lang w:val="en-US" w:eastAsia="zh-CN" w:bidi="ar-SA"/>
        </w:rPr>
      </w:pPr>
      <w:r>
        <w:rPr>
          <w:rFonts w:hint="eastAsia" w:ascii="宋体" w:hAnsi="宋体" w:cs="Arial"/>
          <w:b/>
          <w:bCs w:val="0"/>
          <w:color w:val="000000"/>
          <w:sz w:val="24"/>
          <w:szCs w:val="20"/>
          <w:highlight w:val="none"/>
          <w:lang w:val="en-US" w:eastAsia="zh-CN" w:bidi="ar-SA"/>
        </w:rPr>
        <w:t xml:space="preserve">附属工程</w:t>
      </w:r>
      <w:r/>
    </w:p>
    <w:tbl>
      <w:tblPr>
        <w:tblStyle w:val="877"/>
        <w:tblW w:w="524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4"/>
        <w:gridCol w:w="2747"/>
        <w:gridCol w:w="4472"/>
        <w:gridCol w:w="943"/>
        <w:gridCol w:w="1103"/>
      </w:tblGrid>
      <w:tr>
        <w:trPr>
          <w:jc w:val="center"/>
          <w:trHeight w:val="353"/>
        </w:trPr>
        <w:tc>
          <w:tcPr>
            <w:shd w:val="clear" w:color="auto" w:fill="ffffff"/>
            <w:tcBorders>
              <w:top w:val="single" w:color="000000" w:sz="8" w:space="0"/>
              <w:left w:val="single" w:color="000000" w:sz="8" w:space="0"/>
              <w:bottom w:val="single" w:color="000000" w:sz="4" w:space="0"/>
              <w:right w:val="single" w:color="000000" w:sz="4" w:space="0"/>
            </w:tcBorders>
            <w:tcW w:w="44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0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t xml:space="preserve">技术要求及相关说明</w:t>
            </w:r>
            <w:r/>
          </w:p>
        </w:tc>
        <w:tc>
          <w:tcPr>
            <w:shd w:val="clear" w:color="auto" w:fill="ffffff"/>
            <w:tcBorders>
              <w:top w:val="single" w:color="000000" w:sz="8" w:space="0"/>
              <w:left w:val="single" w:color="000000" w:sz="4" w:space="0"/>
              <w:bottom w:val="single" w:color="000000" w:sz="4" w:space="0"/>
              <w:right w:val="single" w:color="000000" w:sz="4" w:space="0"/>
            </w:tcBorders>
            <w:tcW w:w="46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计量</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工程量</w:t>
            </w:r>
            <w:r/>
          </w:p>
        </w:tc>
      </w:tr>
      <w:tr>
        <w:trPr>
          <w:jc w:val="center"/>
          <w:trHeight w:val="312"/>
        </w:trPr>
        <w:tc>
          <w:tcPr>
            <w:shd w:val="clear" w:color="auto" w:fill="ffffff"/>
            <w:tcBorders>
              <w:top w:val="single" w:color="000000" w:sz="8" w:space="0"/>
              <w:left w:val="single" w:color="000000" w:sz="8" w:space="0"/>
              <w:bottom w:val="single" w:color="000000" w:sz="4" w:space="0"/>
              <w:right w:val="single" w:color="000000" w:sz="4" w:space="0"/>
            </w:tcBorders>
            <w:tcW w:w="44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352"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01"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464"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土石方工程</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现状场地拆除</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1、土壤类别:投标人自行考虑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2、弃土运距:投标人自行考虑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3、取土运距:投标人自行考虑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r>
      <w:tr>
        <w:trPr>
          <w:jc w:val="center"/>
          <w:trHeight w:val="1251"/>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1、土壤类别:三类土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2、挖土深度:投标单位自行勘察现场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3、弃土运距:投标人自行考虑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274.8</w:t>
            </w:r>
            <w:r/>
          </w:p>
        </w:tc>
      </w:tr>
      <w:tr>
        <w:trPr>
          <w:jc w:val="center"/>
          <w:trHeight w:val="125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1、密实度要求:夯填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2、填方材料品种:三类土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3、填方来源、运距:投标人自行考虑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187.85</w:t>
            </w:r>
            <w:r/>
          </w:p>
        </w:tc>
      </w:tr>
      <w:tr>
        <w:trPr>
          <w:jc w:val="center"/>
          <w:trHeight w:val="88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1、废弃料品种:素土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86.95</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混凝土及钢筋混凝土工程</w:t>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1、碎石垫层厚100mm，沿基础外放100mm</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p>
        </w:tc>
      </w:tr>
      <w:tr>
        <w:trPr>
          <w:jc w:val="center"/>
          <w:trHeight w:val="88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1、混凝土种类:预拌非泵送商品砼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p>
        </w:tc>
      </w:tr>
      <w:tr>
        <w:trPr>
          <w:jc w:val="center"/>
          <w:trHeight w:val="91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r>
      <w:tr>
        <w:trPr>
          <w:jc w:val="center"/>
          <w:trHeight w:val="87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挡土墙</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23.17</w:t>
            </w:r>
            <w:r/>
          </w:p>
        </w:tc>
      </w:tr>
      <w:tr>
        <w:trPr>
          <w:jc w:val="center"/>
          <w:trHeight w:val="91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1、钢筋种类、规格:三级钢12以内</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0.823</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1、钢筋种类、规格:三级钢25以内</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9.916</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钢筋电渣压力焊接头</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1、钢筋类型、规格:电渣压力焊</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p>
        </w:tc>
      </w:tr>
      <w:tr>
        <w:trPr>
          <w:jc w:val="center"/>
          <w:trHeight w:val="1071"/>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1、钢材种类:预埋钢板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2、规格:详图纸设计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3、铁件尺寸:详图纸设计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1.522</w:t>
            </w:r>
            <w:r/>
          </w:p>
        </w:tc>
      </w:tr>
      <w:tr>
        <w:trPr>
          <w:jc w:val="center"/>
          <w:trHeight w:val="303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成品渗滤液池</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1、部位:室外成品渗滤液池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2、总容积2.5m3</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3、做法参见《玻璃钢化粪池选用与埋深》(14SS706)第22页,尺寸见第24-25页,总容积2.5m3,沟槽开挖及回填做法参见第49页,基础做法参见第50页B型基础。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4、直径100PVC管埋于-2500处接垃圾收集箱</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土石方工程</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现状场地拆除与恢复</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1、土壤类别:投标人自行考虑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2、弃土运距:投标人自行考虑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3、取土运距:投标人自行考虑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1、土壤类别:三类土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2、挖土深度:投标单位自行勘察现场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3、弃土运距:投标人自行考虑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274.8</w:t>
            </w:r>
            <w:r/>
          </w:p>
        </w:tc>
      </w:tr>
      <w:tr>
        <w:trPr>
          <w:jc w:val="center"/>
          <w:trHeight w:val="1046"/>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1、密实度要求:夯填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2、填方材料品种:三类土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3、填方来源、运距:投标人自行考虑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187.85</w:t>
            </w:r>
            <w:r/>
          </w:p>
        </w:tc>
      </w:tr>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1、废弃料品种:素土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86.95</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混凝土及钢筋混凝土工程</w:t>
            </w:r>
            <w:r/>
          </w:p>
        </w:tc>
      </w:tr>
      <w:tr>
        <w:trPr>
          <w:jc w:val="center"/>
          <w:trHeight w:val="7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1、碎石垫层厚100mm，沿基础外放100mm</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p>
        </w:tc>
      </w:tr>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1、混凝土种类:预拌非泵送商品砼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p>
        </w:tc>
      </w:tr>
      <w:tr>
        <w:trPr>
          <w:jc w:val="center"/>
          <w:trHeight w:val="85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r>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挡土墙</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23.17</w:t>
            </w:r>
            <w:r/>
          </w:p>
        </w:tc>
      </w:tr>
      <w:tr>
        <w:trPr>
          <w:jc w:val="center"/>
          <w:trHeight w:val="81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1、钢筋种类、规格:三级钢12以内</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0.823</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1、钢筋种类、规格:三级钢25以内</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9.916</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钢筋电渣压力焊接头</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1、钢筋类型、规格:电渣压力焊</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1、钢材种类:预埋钢板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2、规格:详图纸设计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3、铁件尺寸:详图纸设计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1.522</w:t>
            </w:r>
            <w:r/>
          </w:p>
        </w:tc>
      </w:tr>
      <w:tr>
        <w:trPr>
          <w:jc w:val="center"/>
          <w:trHeight w:val="314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成品渗滤液池</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1、部位:室外成品渗滤液池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2、总容积2.5m3</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3、做法参见《玻璃钢化粪池选用与埋深》(14SS706)第22页,尺寸见第24-25页,总容积2.5m3,沟槽开挖及回填做法参见第49页,基础做法参见第50页B型基础。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4、直径100PVC管埋于-2500处接垃圾收集箱</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土石方工程</w:t>
            </w:r>
            <w:r/>
          </w:p>
        </w:tc>
      </w:tr>
      <w:tr>
        <w:trPr>
          <w:jc w:val="center"/>
          <w:trHeight w:val="112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现状场地拆除与恢复</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1、土壤类别:投标人自行考虑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2、弃土运距:投标人自行考虑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3、取土运距:投标人自行考虑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r>
      <w:tr>
        <w:trPr>
          <w:jc w:val="center"/>
          <w:trHeight w:val="123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1、土壤类别:三类土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2、挖土深度:投标单位自行勘察现场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3、弃土运距:投标人自行考虑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274.8</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1、密实度要求:夯填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2、填方材料品种:三类土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3、填方来源、运距:投标人自行考虑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187.85</w:t>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1、废弃料品种:素土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86.95</w:t>
            </w:r>
            <w:r/>
          </w:p>
        </w:tc>
      </w:tr>
      <w:tr>
        <w:trPr>
          <w:jc w:val="center"/>
          <w:trHeight w:val="338"/>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混凝土及钢筋混凝土工程</w:t>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1、碎石垫层厚100mm，沿基础外放100mm</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p>
        </w:tc>
      </w:tr>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1、混凝土种类:预拌非泵送商品砼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10.74</w:t>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挡土墙</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23.17</w:t>
            </w:r>
            <w:r/>
          </w:p>
        </w:tc>
      </w:tr>
      <w:tr>
        <w:trPr>
          <w:jc w:val="center"/>
          <w:trHeight w:val="66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1、钢筋种类、规格:三级钢12以内</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0.823</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1、钢筋种类、规格:三级钢25以内</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9.916</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钢筋电渣压力焊接头</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1、钢筋类型、规格:电渣压力焊</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p>
        </w:tc>
      </w:tr>
      <w:tr>
        <w:trPr>
          <w:jc w:val="center"/>
          <w:trHeight w:val="104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1、钢材种类:预埋钢板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2、规格:详图纸设计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3、铁件尺寸:详图纸设计</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1.522</w:t>
            </w:r>
            <w:r/>
          </w:p>
        </w:tc>
      </w:tr>
      <w:tr>
        <w:trPr>
          <w:jc w:val="center"/>
          <w:trHeight w:val="314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成品渗滤液池</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1、部位:室外成品渗滤液池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2、总容积2.5m3</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3、做法参见《玻璃钢化粪池选用与埋深》(14SS706)第22页,尺寸见第24-25页,总容积2.5m3,沟槽开挖及回填做法参见第49页,基础做法参见第50页B型基础。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4、直径100PVC管埋于-2500处接垃圾收集箱</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场地硬化及附属工程</w:t>
            </w:r>
            <w:r/>
          </w:p>
        </w:tc>
      </w:tr>
      <w:tr>
        <w:trPr>
          <w:jc w:val="center"/>
          <w:trHeight w:val="1441"/>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场地挖除</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1、材质及厚度:自行勘察现场，综合考虑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2、备注:拆除碎渣外运出项目区，运距自行考虑，残值归施工单位</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1、部位:场地下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2、备注:压实系数满足要求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2、备注:30cm厚</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1、水泥含量：5%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3、备注：含摊铺、压实、养生等费用，详见图纸</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2498"/>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钢筋水泥混凝土面层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1、混凝土种类:C30商品混凝土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3、配双层双向φ12钢筋网片，间距150cm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4、备注:含钢筋制安、模板制作，安拆，道路养生、切缝、缝处理、刻纹等费用，未详之处详见图纸</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4661"/>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1、类型:白色标线(车位线等)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2、材料品种:热熔标线涂料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3、形式:标线标线涂层厚度≥2.0mm，添加玻璃微珠、雨夜反光陶瓷珠等填充材料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4、备注:技术要求应符合《路面标线涂料》 (JT/T 280-2004)《道路交通标线质量要求和检测方法》 (GB/T 16311-2009) 和《道路标线涂料》GA/T 298-2001)的要求。路面采用彩色防滑标线时，标线涂料的色度性能应符合《安全色》 (GB 2893-2008) 的要求；标线填充材料应符合《路面标线用玻璃珠》 (GB24722-2009) 的要求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jc w:val="center"/>
          <w:trHeight w:val="76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车档</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1、材料品种:耐压型橡胶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2、规格、型号:500*150*100mm</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场地硬化及附属工程</w:t>
            </w:r>
            <w:r/>
          </w:p>
        </w:tc>
      </w:tr>
      <w:tr>
        <w:trPr>
          <w:jc w:val="center"/>
          <w:trHeight w:val="1411"/>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场地挖除</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1、材质及厚度:自行勘察现场，综合考虑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2、备注:拆除碎渣外运出项目区，运距自行考虑，残值归施工单位</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1、部位:场地下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2、备注:压实系数满足要求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2、备注:30cm厚</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1、水泥含量：5%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3、备注：含摊铺、压实、养生等费用，详见图纸</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2423"/>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钢筋水泥混凝土面层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1、混凝土种类:C30商品混凝土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3、配双层双向φ12钢筋网片，间距150cm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4、备注:含钢筋制安、模板制作，安拆，道路养生、切缝、缝处理、刻纹等费用，未详之处详见图纸</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4656"/>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1、类型:白色标线(车位线等)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2、材料品种:热熔标线涂料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3、形式:标线标线涂层厚度≥2.0mm，添加玻璃微珠、雨夜反光陶瓷珠等填充材料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4、备注:技术要求应符合《路面标线涂料》 (JT/T 280-2004)《道路交通标线质量要求和检测方法》 (GB/T 16311-2009) 和《道路标线涂料》GA/T 298-2001)的要求。路面采用彩色防滑标线时，标线涂料的色度性能应符合《安全色》 (GB 2893-2008) 的要求；标线填充材料应符合《路面标线用玻璃珠》 (GB24722-2009) 的要求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jc w:val="center"/>
          <w:trHeight w:val="81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车档</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1、材料品种:耐压型橡胶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2、规格、型号:500*150*100mm</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场地硬化及附属工程</w:t>
            </w:r>
            <w:r/>
          </w:p>
        </w:tc>
      </w:tr>
      <w:tr>
        <w:trPr>
          <w:jc w:val="center"/>
          <w:trHeight w:val="1426"/>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场地挖除</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1、材质及厚度:自行勘察现场，综合考虑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2、备注:拆除碎渣外运出项目区，运距自行考虑，残值归施工单位</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1、部位:场地下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2、备注:压实系数满足要求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2、备注:30cm厚</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1、水泥含量：5%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3、备注：含摊铺、压实、养生等费用，详见图纸</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2543"/>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钢筋水泥混凝土面层</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1、混凝土种类:C30商品混凝土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3、配双层双向φ12钢筋网片，间距150cm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4、备注:含钢筋制安、模板制作，安拆，道路养生、切缝、缝处理、刻纹等费用，未详之处详见图纸</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r>
      <w:tr>
        <w:trPr>
          <w:jc w:val="center"/>
          <w:trHeight w:val="4726"/>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1、类型:白色标线(车位线等)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2、材料品种:热熔标线涂料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3、形式:标线标线涂层厚度≥2.0mm，添加玻璃微珠、雨夜反光陶瓷珠等填充材料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4、备注:技术要求应符合《路面标线涂料》 (JT/T 280-2004)《道路交通标线质量要求和检测方法》 (GB/T 16311-2009) 和《道路标线涂料》GA/T 298-2001)的要求。路面采用彩色防滑标线时，标线涂料的色度性能应符合《安全色》 (GB 2893-2008) 的要求；标线填充材料应符合《路面标线用玻璃珠》 (GB24722-2009) 的要求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jc w:val="center"/>
          <w:trHeight w:val="85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车档</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1、材料品种:耐压型橡胶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2、规格、型号:500*150*100mm</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中国邮政储蓄银行建湖县太平路支行</w:t>
            </w:r>
            <w:r/>
          </w:p>
        </w:tc>
      </w:tr>
      <w:tr>
        <w:trPr>
          <w:jc w:val="center"/>
          <w:trHeight w:val="79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1、混凝土种类:预拌非泵送商品砼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满堂基础模板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13.37</w:t>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挡土墙模板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矩形柱模板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p>
        </w:tc>
      </w:tr>
      <w:tr>
        <w:trPr>
          <w:jc w:val="center"/>
          <w:trHeight w:val="338"/>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盐城市骅业石油机械有限公司东</w:t>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1、混凝土种类:预拌非泵送商品砼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满堂基础模板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13.37</w:t>
            </w:r>
            <w:r/>
          </w:p>
        </w:tc>
      </w:tr>
      <w:tr>
        <w:trPr>
          <w:jc w:val="center"/>
          <w:trHeight w:val="72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挡土墙模板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p>
        </w:tc>
      </w:tr>
      <w:tr>
        <w:trPr>
          <w:jc w:val="center"/>
          <w:trHeight w:val="73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矩形柱模板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p>
        </w:tc>
      </w:tr>
      <w:tr>
        <w:trPr>
          <w:jc w:val="center"/>
          <w:trHeight w:val="353"/>
        </w:trPr>
        <w:tc>
          <w:tcPr>
            <w:gridSpan w:val="5"/>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城市嘉园中转站内</w:t>
            </w:r>
            <w:r/>
          </w:p>
        </w:tc>
      </w:tr>
      <w:tr>
        <w:trPr>
          <w:jc w:val="center"/>
          <w:trHeight w:val="79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垫层模板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1、混凝土种类:预拌非泵送商品砼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p>
        </w:tc>
      </w:tr>
      <w:tr>
        <w:trPr>
          <w:jc w:val="center"/>
          <w:trHeight w:val="719"/>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满堂基础模板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13.37</w:t>
            </w:r>
            <w:r/>
          </w:p>
        </w:tc>
      </w:tr>
      <w:tr>
        <w:trPr>
          <w:jc w:val="center"/>
          <w:trHeight w:val="765"/>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挡土墙模板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p>
        </w:tc>
      </w:tr>
      <w:tr>
        <w:trPr>
          <w:jc w:val="center"/>
          <w:trHeight w:val="774"/>
        </w:trPr>
        <w:tc>
          <w:tcPr>
            <w:shd w:val="clear" w:color="auto" w:fill="auto"/>
            <w:tcBorders>
              <w:top w:val="single" w:color="000000" w:sz="4" w:space="0"/>
              <w:left w:val="single" w:color="000000" w:sz="8"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矩形柱模板</w:t>
            </w:r>
            <w:r/>
          </w:p>
        </w:tc>
        <w:tc>
          <w:tcPr>
            <w:shd w:val="clear" w:color="auto" w:fill="auto"/>
            <w:tcBorders>
              <w:top w:val="single" w:color="000000" w:sz="4" w:space="0"/>
              <w:left w:val="single" w:color="000000" w:sz="4" w:space="0"/>
              <w:bottom w:val="single" w:color="000000" w:sz="4" w:space="0"/>
              <w:right w:val="single" w:color="000000" w:sz="4" w:space="0"/>
            </w:tcBorders>
            <w:tcW w:w="220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1、混凝土种类:预拌泵送商品砼</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2、混凝土强度等级:C30 P6</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p>
        </w:tc>
      </w:tr>
    </w:tbl>
    <w:p>
      <w:pPr>
        <w:numPr>
          <w:ilvl w:val="0"/>
          <w:numId w:val="0"/>
        </w:numPr>
        <w:ind w:firstLine="482"/>
        <w:keepLines w:val="0"/>
        <w:keepNext w:val="0"/>
        <w:pageBreakBefore w:val="0"/>
        <w:spacing w:line="480" w:lineRule="exact"/>
        <w:tabs>
          <w:tab w:val="left" w:pos="900" w:leader="none"/>
        </w:tabs>
        <w:rPr>
          <w:rFonts w:hint="eastAsia" w:ascii="宋体" w:hAnsi="宋体" w:cs="Arial"/>
          <w:b/>
          <w:bCs w:val="0"/>
          <w:color w:val="000000"/>
          <w:sz w:val="24"/>
          <w:szCs w:val="20"/>
          <w:highlight w:val="none"/>
          <w:lang w:val="en-US" w:eastAsia="zh-CN" w:bidi="ar-SA"/>
        </w:rPr>
      </w:pPr>
      <w:r>
        <w:rPr>
          <w:rFonts w:hint="eastAsia" w:ascii="宋体" w:hAnsi="宋体" w:cs="Arial"/>
          <w:b/>
          <w:bCs w:val="0"/>
          <w:color w:val="000000"/>
          <w:sz w:val="24"/>
          <w:szCs w:val="20"/>
          <w:highlight w:val="none"/>
          <w:lang w:val="en-US" w:eastAsia="zh-CN" w:bidi="ar-SA"/>
        </w:rPr>
        <w:t xml:space="preserve">升降式建筑垃圾收集箱、钩臂式建筑垃圾收集箱和附属工程施工相关技术图纸（网盘提取）</w:t>
      </w:r>
      <w:r/>
    </w:p>
    <w:p>
      <w:pPr>
        <w:ind w:firstLine="482"/>
        <w:keepLines w:val="0"/>
        <w:keepNext w:val="0"/>
        <w:pageBreakBefore w:val="0"/>
        <w:spacing w:line="480" w:lineRule="exact"/>
        <w:tabs>
          <w:tab w:val="left" w:pos="9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链接：https://www.yunpan.com/surl_yIxA6aJyMmG （提取码：5186）</w:t>
      </w:r>
      <w:r/>
    </w:p>
    <w:p>
      <w:pPr>
        <w:ind w:firstLine="482"/>
        <w:keepLines w:val="0"/>
        <w:keepNext w:val="0"/>
        <w:pageBreakBefore w:val="0"/>
        <w:spacing w:line="48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四</w:t>
      </w:r>
      <w:r>
        <w:rPr>
          <w:rFonts w:hint="eastAsia" w:ascii="宋体" w:hAnsi="宋体" w:eastAsia="宋体" w:cs="宋体"/>
          <w:b/>
          <w:bCs/>
          <w:color w:val="000000"/>
          <w:sz w:val="24"/>
          <w:highlight w:val="none"/>
        </w:rPr>
        <w:t xml:space="preserve">、服务保障和承诺要求</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1.质保期为1年，</w:t>
      </w:r>
      <w:r>
        <w:rPr>
          <w:rFonts w:hint="eastAsia" w:ascii="宋体" w:hAnsi="宋体" w:eastAsia="宋体" w:cs="宋体"/>
          <w:color w:val="000000"/>
          <w:sz w:val="24"/>
          <w:szCs w:val="24"/>
          <w:highlight w:val="none"/>
        </w:rPr>
        <w:t xml:space="preserve">质量保证期从全部货物供结束（无质量问题）之日算起质保期内因产品质量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人为破坏除外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引起的所有损失均由供应商负责；</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在保修期及保修范围内（合同规定的全部货物），供应商应对任何因设计、工艺、材料、产品质量和部件造成的货物或部件损坏，实行维修全免费上门服务；</w:t>
      </w:r>
      <w:r>
        <w:rPr>
          <w:rFonts w:hint="eastAsia" w:ascii="宋体" w:hAnsi="宋体" w:eastAsia="宋体" w:cs="宋体"/>
          <w:color w:val="000000"/>
          <w:sz w:val="24"/>
          <w:highlight w:val="none"/>
        </w:rPr>
        <w:t xml:space="preserve">免费质保期间出现的问题，必须在2小时内响应，12个小时内到达现场，24小时内修复。</w:t>
      </w:r>
      <w:r>
        <w:rPr>
          <w:rFonts w:hint="eastAsia" w:ascii="宋体" w:hAnsi="宋体" w:eastAsia="宋体" w:cs="宋体"/>
          <w:bCs/>
          <w:color w:val="000000"/>
          <w:sz w:val="24"/>
          <w:highlight w:val="none"/>
        </w:rPr>
        <w:t xml:space="preserve">如乙方供应的产品因质量原因不能通过相关部门的验收，乙方无偿更换全部产品，不收取任何费用，并承担相应责任。</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供应商必须严格按照本次招标技术要求进行合理报价，如后期出现验收不合格情形视同虚假承诺谋取中标成交，将被列入不良行为记录名单；</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供应商工作人员的人身安全一概由供应商负责，与招标方无关。因供应商人员在工作中造成了第三方的人或财产损害的，也一概由供应商自行承担；</w:t>
      </w:r>
      <w:r/>
    </w:p>
    <w:p>
      <w:pPr>
        <w:ind w:left="0" w:right="0" w:firstLine="480"/>
        <w:jc w:val="both"/>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供应商自行承担运输、安装、调试过程中的安全责任。</w:t>
      </w:r>
      <w:r/>
    </w:p>
    <w:p>
      <w:pPr>
        <w:pStyle w:val="1071"/>
        <w:ind w:firstLine="482"/>
        <w:jc w:val="both"/>
        <w:keepLines w:val="0"/>
        <w:keepNext w:val="0"/>
        <w:pageBreakBefore w:val="0"/>
        <w:spacing w:beforeAutospacing="0" w:afterAutospacing="0"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、采购标的对应的中小企业划分标准所属行业一览表</w:t>
      </w:r>
      <w:r/>
    </w:p>
    <w:tbl>
      <w:tblPr>
        <w:tblStyle w:val="877"/>
        <w:tblW w:w="84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jc w:val="center"/>
          <w:tblCellSpacing w:w="0" w:type="dxa"/>
          <w:trHeight w:val="931"/>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71"/>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1"/>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71"/>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p>
        </w:tc>
      </w:tr>
      <w:tr>
        <w:trPr>
          <w:jc w:val="center"/>
          <w:tblCellSpacing w:w="0" w:type="dxa"/>
          <w:trHeight w:val="58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71"/>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1"/>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lang w:val="en-US"/>
              </w:rPr>
              <w:suppressLineNumbers w:val="0"/>
            </w:pPr>
            <w:r>
              <w:rPr>
                <w:rFonts w:hint="eastAsia" w:ascii="宋体" w:hAnsi="宋体" w:eastAsia="宋体" w:cs="宋体"/>
                <w:b w:val="0"/>
                <w:color w:val="000000"/>
                <w:sz w:val="24"/>
                <w:szCs w:val="24"/>
                <w:highlight w:val="none"/>
                <w:lang w:val="en-US" w:eastAsia="zh-CN"/>
              </w:rPr>
              <w:t xml:space="preserve">清单中所有产品标的</w:t>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71"/>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工业</w:t>
            </w:r>
            <w:r/>
          </w:p>
        </w:tc>
      </w:tr>
    </w:tbl>
    <w:p>
      <w:pPr>
        <w:rPr>
          <w:rFonts w:hint="eastAsia" w:ascii="宋体" w:hAnsi="宋体" w:eastAsia="宋体" w:cs="宋体"/>
          <w:color w:val="000000"/>
          <w:highlight w:val="none"/>
          <w:lang w:val="en-US" w:eastAsia="zh-CN"/>
        </w:rPr>
        <w:sectPr>
          <w:headerReference w:type="default" r:id="rId9"/>
          <w:headerReference w:type="first" r:id="rId10"/>
          <w:footerReference w:type="default" r:id="rId14"/>
          <w:footerReference w:type="first" r:id="rId15"/>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eastAsia="宋体" w:cs="宋体"/>
          <w:color w:val="000000"/>
          <w:highlight w:val="none"/>
          <w:lang w:val="en-US" w:eastAsia="zh-CN"/>
        </w:rPr>
      </w:r>
      <w:r/>
    </w:p>
    <w:p>
      <w:pPr>
        <w:numPr>
          <w:ilvl w:val="0"/>
          <w:numId w:val="0"/>
        </w:numPr>
        <w:jc w:val="center"/>
        <w:spacing w:line="48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lang w:val="en-US" w:eastAsia="zh-CN" w:bidi="ar-SA"/>
        </w:rPr>
        <w:t xml:space="preserve">第四章</w:t>
      </w:r>
      <w:r>
        <w:rPr>
          <w:rFonts w:hint="eastAsia" w:ascii="宋体" w:hAnsi="宋体" w:eastAsia="宋体" w:cs="宋体"/>
          <w:b/>
          <w:color w:val="000000"/>
          <w:sz w:val="44"/>
          <w:szCs w:val="44"/>
          <w:highlight w:val="none"/>
        </w:rPr>
        <w:t xml:space="preserve"> 评标办法及评分标准</w:t>
      </w:r>
      <w:r/>
    </w:p>
    <w:p>
      <w:pPr>
        <w:ind w:firstLine="48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一、</w:t>
      </w:r>
      <w:r>
        <w:rPr>
          <w:rFonts w:hint="eastAsia" w:ascii="宋体" w:hAnsi="宋体" w:eastAsia="宋体" w:cs="宋体"/>
          <w:b/>
          <w:bCs/>
          <w:color w:val="000000"/>
          <w:sz w:val="24"/>
          <w:highlight w:val="none"/>
        </w:rPr>
        <w:t xml:space="preserve">评标办法：综合评分法。</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3.总得分最高的即为中标候选人。</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4.推荐的中标候选人数：1名。</w:t>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（一）小微企业优惠情况：</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1、对小型和微型企业产品最后价格给予20%的扣除，用扣除后的价格参与评审。 </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如项目为工程类或服务类，施工单位/服务全部由符合政策要求的小微企业承接，对其总报价给予20%的扣除，用扣除后的价格参与价格评审。</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2、供应商须按照采购文件要求提供相应的《企业声明函》（格式附后），不提供声明函或有弄虚作假的，将依法承担相应责任。</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（二）残疾人福利单位价格扣除</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1、本项目对残疾人福利性单位视同小型、微型企业，给予20%的价格扣除，用扣除后的价格参与评审。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2、残疾人福利单位需按照采购文件的要求提供《残疾人福利性单位声明函》。</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3、残疾人福利单位标准请参照《关于促进残疾人就业政府采购政策的通知》（财库〔2017〕141号）。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（三）监狱和戒毒企业价格扣除</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1、本项目对监狱和戒毒企业（简称监狱企业）视同小型、微型企业，给予20%的价格扣除，用扣除后的价格参与评审。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3、监狱企业标准请参照《关于政府采购支持监狱企业发展有关问题的通知》（财库[2014]68号）。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（五）严格执行政府采购关于支持</w:t>
      </w:r>
      <w:r>
        <w:rPr>
          <w:rFonts w:hint="eastAsia" w:ascii="宋体" w:hAnsi="宋体" w:eastAsia="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（七）本文件中若涉及到数据中心采购，应按照《&lt;绿色数据中心政府采购需求标准（试行）&gt;的通知》（财库〔2023〕7号）执行。</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2"/>
        <w:keepLines w:val="0"/>
        <w:keepNext w:val="0"/>
        <w:pageBreakBefore w:val="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、评分标准（总分值为100分）</w:t>
      </w:r>
      <w:r/>
    </w:p>
    <w:tbl>
      <w:tblPr>
        <w:tblStyle w:val="877"/>
        <w:tblW w:w="97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43"/>
        <w:gridCol w:w="765"/>
        <w:gridCol w:w="7012"/>
      </w:tblGrid>
      <w:tr>
        <w:trPr>
          <w:trHeight w:val="492"/>
        </w:trPr>
        <w:tc>
          <w:tcPr>
            <w:tcW w:w="758" w:type="dxa"/>
            <w:vAlign w:val="center"/>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43" w:type="dxa"/>
            <w:vAlign w:val="center"/>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评分项目</w:t>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p>
        </w:tc>
        <w:tc>
          <w:tcPr>
            <w:tcW w:w="7012"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评分细则</w:t>
            </w:r>
            <w:r/>
          </w:p>
        </w:tc>
      </w:tr>
      <w:tr>
        <w:trPr>
          <w:trHeight w:val="2244"/>
        </w:trPr>
        <w:tc>
          <w:tcPr>
            <w:tcW w:w="758"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p>
        </w:tc>
        <w:tc>
          <w:tcPr>
            <w:tcW w:w="1243"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p>
        </w:tc>
        <w:tc>
          <w:tcPr>
            <w:tcW w:w="7012" w:type="dxa"/>
            <w:vAlign w:val="center"/>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满足招标文件要求且投标价格最低的投标报价为评标基准价，其价格分为满分30分。</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其他投标人的价格分统一按照下列公式计算：投标报价得分=（评标基准价/投标报价）×30，结果保留两位小数。（有效投标报价为</w:t>
            </w:r>
            <w:r>
              <w:rPr>
                <w:rFonts w:hint="eastAsia" w:ascii="宋体" w:hAnsi="宋体" w:eastAsia="宋体" w:cs="宋体"/>
                <w:color w:val="000000"/>
                <w:sz w:val="24"/>
                <w:szCs w:val="24"/>
                <w:highlight w:val="none"/>
                <w:lang w:val="zh-CN"/>
              </w:rPr>
              <w:t xml:space="preserve">未被评标委员会判定为废标的投标文件</w:t>
            </w:r>
            <w:r>
              <w:rPr>
                <w:rFonts w:hint="eastAsia" w:ascii="宋体" w:hAnsi="宋体" w:eastAsia="宋体" w:cs="宋体"/>
                <w:color w:val="000000"/>
                <w:sz w:val="24"/>
                <w:szCs w:val="24"/>
                <w:highlight w:val="none"/>
              </w:rPr>
              <w:t xml:space="preserve">）。</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注：小微企业优惠政策详见本文第四</w:t>
            </w:r>
            <w:r>
              <w:rPr>
                <w:rFonts w:hint="eastAsia" w:ascii="宋体" w:hAnsi="宋体" w:eastAsia="宋体" w:cs="宋体"/>
                <w:color w:val="000000"/>
                <w:sz w:val="24"/>
                <w:szCs w:val="24"/>
                <w:highlight w:val="none"/>
                <w:lang w:eastAsia="zh-CN"/>
              </w:rPr>
              <w:t xml:space="preserve">章</w:t>
            </w:r>
            <w:r>
              <w:rPr>
                <w:rFonts w:hint="eastAsia" w:ascii="宋体" w:hAnsi="宋体" w:eastAsia="宋体" w:cs="宋体"/>
                <w:color w:val="000000"/>
                <w:sz w:val="24"/>
                <w:szCs w:val="24"/>
                <w:highlight w:val="none"/>
              </w:rPr>
              <w:t xml:space="preserve">第二项“小微企业优惠情况”</w:t>
            </w:r>
            <w:r/>
          </w:p>
        </w:tc>
      </w:tr>
      <w:tr>
        <w:trPr>
          <w:trHeight w:val="2154"/>
        </w:trPr>
        <w:tc>
          <w:tcPr>
            <w:tcW w:w="758"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p>
        </w:tc>
        <w:tc>
          <w:tcPr>
            <w:tcW w:w="1243"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实力</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tc>
        <w:tc>
          <w:tcPr>
            <w:tcW w:w="7012" w:type="dxa"/>
            <w:vAlign w:val="center"/>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投标人或</w:t>
            </w:r>
            <w:r>
              <w:rPr>
                <w:rFonts w:hint="eastAsia" w:ascii="宋体" w:hAnsi="宋体" w:eastAsia="宋体" w:cs="宋体"/>
                <w:color w:val="000000"/>
                <w:sz w:val="24"/>
                <w:szCs w:val="24"/>
                <w:highlight w:val="none"/>
              </w:rPr>
              <w:t xml:space="preserve">生产厂商具有</w:t>
            </w:r>
            <w:r>
              <w:rPr>
                <w:rFonts w:hint="eastAsia" w:ascii="宋体" w:hAnsi="宋体" w:eastAsia="宋体" w:cs="宋体"/>
                <w:color w:val="000000"/>
                <w:sz w:val="24"/>
                <w:szCs w:val="24"/>
                <w:highlight w:val="none"/>
                <w:lang w:val="en-US" w:eastAsia="zh-CN"/>
              </w:rPr>
              <w:t xml:space="preserve">质量管理体系认证证书、环境管理体系认证证书，有一项</w:t>
            </w:r>
            <w:r>
              <w:rPr>
                <w:rFonts w:hint="eastAsia" w:ascii="宋体" w:hAnsi="宋体" w:cs="宋体"/>
                <w:color w:val="000000"/>
                <w:sz w:val="24"/>
                <w:szCs w:val="24"/>
                <w:highlight w:val="none"/>
                <w:lang w:val="en-US" w:eastAsia="zh-CN"/>
              </w:rPr>
              <w:t xml:space="preserve">得1</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分（认证范围与本次采购内容相关，认证证书必须在全国认证认可信息公共服务平台cx.cnca.cn/CertECloud/index/index/page网站可查询）</w:t>
            </w:r>
            <w:r/>
          </w:p>
        </w:tc>
      </w:tr>
      <w:tr>
        <w:trPr>
          <w:trHeight w:val="1446"/>
        </w:trPr>
        <w:tc>
          <w:tcPr>
            <w:tcW w:w="758"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p>
        </w:tc>
        <w:tc>
          <w:tcPr>
            <w:tcW w:w="1243"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012" w:type="dxa"/>
            <w:vAlign w:val="center"/>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2年</w:t>
            </w:r>
            <w:r>
              <w:rPr>
                <w:rFonts w:hint="eastAsia" w:ascii="宋体" w:hAnsi="宋体" w:eastAsia="宋体" w:cs="宋体"/>
                <w:color w:val="000000"/>
                <w:sz w:val="24"/>
                <w:szCs w:val="24"/>
                <w:highlight w:val="none"/>
              </w:rPr>
              <w:t xml:space="preserve">1月以来承接过（以合同签订时间为准）类似项目业绩的，每提供一个得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分。须提供中标通知书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eastAsia="zh-CN"/>
              </w:rPr>
              <w:t xml:space="preserve">原件扫描件</w:t>
            </w:r>
            <w:r>
              <w:rPr>
                <w:rFonts w:hint="eastAsia" w:ascii="宋体" w:hAnsi="宋体" w:eastAsia="宋体" w:cs="宋体"/>
                <w:color w:val="000000"/>
                <w:sz w:val="24"/>
                <w:szCs w:val="24"/>
                <w:highlight w:val="none"/>
              </w:rPr>
              <w:t xml:space="preserve">加盖投标单位公章，不提供或提供不齐全的不得分）</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注：上述类似项目业绩是指投标人所提供的业绩需与本项目采购内容类似的项目业绩。</w:t>
            </w:r>
            <w:r/>
          </w:p>
        </w:tc>
      </w:tr>
      <w:tr>
        <w:trPr>
          <w:trHeight w:val="411"/>
        </w:trPr>
        <w:tc>
          <w:tcPr>
            <w:tcW w:w="758"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p>
        </w:tc>
        <w:tc>
          <w:tcPr>
            <w:tcW w:w="1243"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技术响应（</w:t>
            </w: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p>
        </w:tc>
        <w:tc>
          <w:tcPr>
            <w:tcW w:w="7012" w:type="dxa"/>
            <w:vAlign w:val="top"/>
            <w:textDirection w:val="lrTb"/>
            <w:noWrap w:val="false"/>
          </w:tcPr>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根据各投标人对本次招标技术参数响应情况进行评定。投标人的所有技术参数满足招标要求的得满分</w:t>
            </w: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其中标注</w:t>
            </w:r>
            <w:r>
              <w:rPr>
                <w:rFonts w:hint="eastAsia" w:ascii="宋体" w:hAnsi="宋体" w:eastAsia="宋体" w:cs="宋体"/>
                <w:b w:val="0"/>
                <w:bCs w:val="0"/>
                <w:color w:val="000000"/>
                <w:sz w:val="24"/>
                <w:szCs w:val="24"/>
                <w:highlight w:val="none"/>
                <w:lang w:val="en-US" w:eastAsia="zh-CN"/>
              </w:rPr>
              <w:t xml:space="preserve">“▲”项技术参数为重要参数，全部满足的得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分，负偏离1项的扣</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除</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以外为其他参数，</w:t>
            </w:r>
            <w:r>
              <w:rPr>
                <w:rFonts w:hint="eastAsia" w:ascii="宋体" w:hAnsi="宋体" w:eastAsia="宋体" w:cs="宋体"/>
                <w:color w:val="000000"/>
                <w:sz w:val="24"/>
                <w:szCs w:val="24"/>
                <w:highlight w:val="none"/>
                <w:lang w:val="en-US" w:eastAsia="zh-CN"/>
              </w:rPr>
              <w:t xml:space="preserve">其他的参数为一般参数，全部满足的得3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bidi="ar"/>
              </w:rPr>
              <w:t xml:space="preserve">负偏离1-15</w:t>
            </w:r>
            <w:r>
              <w:rPr>
                <w:rFonts w:hint="eastAsia" w:ascii="宋体" w:hAnsi="宋体" w:eastAsia="宋体" w:cs="宋体"/>
                <w:color w:val="000000"/>
                <w:sz w:val="24"/>
                <w:szCs w:val="24"/>
                <w:highlight w:val="none"/>
                <w:lang w:bidi="ar"/>
              </w:rPr>
              <w:t xml:space="preserve">项</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bidi="ar"/>
              </w:rPr>
              <w:t xml:space="preserve">扣</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负偏离16-30项的扣20分，负偏离31项及以上的扣3</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rPr>
              <w:t xml:space="preserve">。</w:t>
            </w:r>
            <w:r/>
          </w:p>
          <w:p>
            <w:pPr>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sz w:val="24"/>
                <w:highlight w:val="none"/>
                <w:lang w:val="en-US" w:eastAsia="zh-CN"/>
              </w:rPr>
              <w:t xml:space="preserve">参数中标注▲的以提供能直接反映该技术参数的证明材料加盖投标单位公章为准，</w:t>
            </w:r>
            <w:r>
              <w:rPr>
                <w:rFonts w:hint="eastAsia" w:ascii="宋体" w:hAnsi="宋体" w:eastAsia="宋体" w:cs="宋体"/>
                <w:color w:val="000000"/>
                <w:sz w:val="24"/>
                <w:szCs w:val="24"/>
                <w:highlight w:val="none"/>
              </w:rPr>
              <w:t xml:space="preserve">其他参数以技术参数响应表加盖投标单位公章为准</w:t>
            </w:r>
            <w:r>
              <w:rPr>
                <w:rFonts w:hint="eastAsia" w:ascii="宋体" w:hAnsi="宋体" w:eastAsia="宋体" w:cs="宋体"/>
                <w:color w:val="000000"/>
                <w:sz w:val="24"/>
                <w:szCs w:val="24"/>
                <w:highlight w:val="none"/>
                <w:lang w:eastAsia="zh-CN"/>
              </w:rPr>
              <w:t xml:space="preserve">（需提供证明材料的以相关证明材料为准）</w:t>
            </w:r>
            <w:r>
              <w:rPr>
                <w:rFonts w:hint="eastAsia" w:ascii="宋体" w:hAnsi="宋体" w:eastAsia="宋体" w:cs="宋体"/>
                <w:color w:val="000000"/>
                <w:sz w:val="24"/>
                <w:szCs w:val="24"/>
                <w:highlight w:val="none"/>
              </w:rPr>
              <w:t xml:space="preserve">；</w:t>
            </w:r>
            <w:r/>
          </w:p>
          <w:p>
            <w:pPr>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技术参数中每一条的要求为一项；</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技术参数中要求提供证明材料的需在投标文件中注明对应页码和序号，便于评委审核。</w:t>
            </w:r>
            <w:r/>
          </w:p>
        </w:tc>
      </w:tr>
      <w:tr>
        <w:trPr>
          <w:trHeight w:val="411"/>
        </w:trPr>
        <w:tc>
          <w:tcPr>
            <w:tcW w:w="758" w:type="dxa"/>
            <w:vAlign w:val="center"/>
            <w:vMerge w:val="restart"/>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56"/>
              <w:ind w:firstLine="240"/>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p>
        </w:tc>
        <w:tc>
          <w:tcPr>
            <w:tcW w:w="1243" w:type="dxa"/>
            <w:vAlign w:val="center"/>
            <w:vMerge w:val="restart"/>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服务方案</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分）</w:t>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w:t>
            </w:r>
            <w:r/>
          </w:p>
        </w:tc>
        <w:tc>
          <w:tcPr>
            <w:tcW w:w="7012" w:type="dxa"/>
            <w:vAlign w:val="top"/>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评标委员会根据</w:t>
            </w:r>
            <w:r>
              <w:rPr>
                <w:rFonts w:hint="eastAsia" w:ascii="宋体" w:hAnsi="宋体" w:cs="宋体"/>
                <w:color w:val="000000"/>
                <w:sz w:val="24"/>
                <w:szCs w:val="24"/>
                <w:highlight w:val="none"/>
                <w:lang w:val="en-US" w:eastAsia="zh-CN"/>
              </w:rPr>
              <w:t xml:space="preserve">各</w:t>
            </w:r>
            <w:r>
              <w:rPr>
                <w:rFonts w:hint="eastAsia" w:ascii="宋体" w:hAnsi="宋体" w:eastAsia="宋体" w:cs="宋体"/>
                <w:color w:val="000000"/>
                <w:sz w:val="24"/>
                <w:szCs w:val="24"/>
                <w:highlight w:val="none"/>
                <w:lang w:val="zh-CN"/>
              </w:rPr>
              <w:t xml:space="preserve">投标人提供的项目全流程实施方案（包含从接到甲方订货通知起直至项目验收完成的保障方案，包括并不限于①订货通知响应时效；②备货准备；③货物质量控制；④供货时效保证；⑤运输及卸货安全保障等）内容</w:t>
            </w:r>
            <w:r>
              <w:rPr>
                <w:rFonts w:hint="eastAsia" w:ascii="宋体" w:hAnsi="宋体" w:cs="宋体"/>
                <w:color w:val="000000"/>
                <w:sz w:val="24"/>
                <w:szCs w:val="24"/>
                <w:highlight w:val="none"/>
                <w:lang w:val="en-US" w:eastAsia="zh-CN"/>
              </w:rPr>
              <w:t xml:space="preserve">进行评定</w:t>
            </w:r>
            <w:r>
              <w:rPr>
                <w:rFonts w:hint="eastAsia" w:ascii="宋体" w:hAnsi="宋体" w:eastAsia="宋体" w:cs="宋体"/>
                <w:color w:val="000000"/>
                <w:sz w:val="24"/>
                <w:szCs w:val="24"/>
                <w:highlight w:val="none"/>
                <w:lang w:val="zh-CN"/>
              </w:rPr>
              <w:t xml:space="preserve">。</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项目全流程实施方案①-⑤项内容包含全面且具体详细，满足实际需求，完全可行，各项保障措施合理完善的得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项目全流程实施方案①-⑤包含全面较为具体详细，基本满足实际需求，可行性较高，各项保障措施较为合理的得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分；</w:t>
            </w:r>
            <w:r/>
          </w:p>
          <w:p>
            <w:pPr>
              <w:pStyle w:val="1056"/>
              <w:jc w:val="both"/>
              <w:keepLines w:val="0"/>
              <w:keepNext w:val="0"/>
              <w:pageBreakBefore w:val="0"/>
              <w:spacing w:line="400" w:lineRule="exact"/>
              <w:rPr>
                <w:rFonts w:hint="eastAsia" w:ascii="宋体" w:hAnsi="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项目全流程实施方案①-⑤细节有一定考虑，与实际需求切合度一般，可行性一般，各项保障措施一般的得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w:t>
            </w:r>
            <w:r>
              <w:rPr>
                <w:rFonts w:hint="eastAsia" w:ascii="宋体" w:hAnsi="宋体" w:cs="宋体"/>
                <w:color w:val="000000"/>
                <w:sz w:val="24"/>
                <w:szCs w:val="24"/>
                <w:highlight w:val="none"/>
                <w:lang w:val="zh-CN"/>
              </w:rPr>
              <w:t xml:space="preserve">；</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应当将量化指标建立在同一基础或者同一标准上，使各投标文件具有可比性，未提供</w:t>
            </w:r>
            <w:r>
              <w:rPr>
                <w:rFonts w:hint="eastAsia" w:ascii="宋体" w:hAnsi="宋体" w:cs="宋体"/>
                <w:color w:val="000000"/>
                <w:sz w:val="24"/>
                <w:szCs w:val="24"/>
                <w:highlight w:val="none"/>
                <w:lang w:eastAsia="zh-CN"/>
              </w:rPr>
              <w:t xml:space="preserve">或提供不全</w:t>
            </w:r>
            <w:r>
              <w:rPr>
                <w:rFonts w:hint="eastAsia" w:ascii="宋体" w:hAnsi="宋体" w:cs="宋体"/>
                <w:color w:val="000000"/>
                <w:sz w:val="24"/>
                <w:szCs w:val="24"/>
                <w:highlight w:val="none"/>
              </w:rPr>
              <w:t xml:space="preserve">的不得分。</w:t>
            </w:r>
            <w:r/>
          </w:p>
        </w:tc>
      </w:tr>
      <w:tr>
        <w:trPr>
          <w:trHeight w:val="376"/>
        </w:trPr>
        <w:tc>
          <w:tcPr>
            <w:tcW w:w="758" w:type="dxa"/>
            <w:vAlign w:val="center"/>
            <w:vMerge w:val="continue"/>
            <w:textDirection w:val="lrTb"/>
            <w:noWrap w:val="false"/>
          </w:tcPr>
          <w:p>
            <w:pPr>
              <w:pStyle w:val="1056"/>
              <w:ind w:firstLine="240"/>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vMerge w:val="continue"/>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w:t>
            </w:r>
            <w:r/>
          </w:p>
        </w:tc>
        <w:tc>
          <w:tcPr>
            <w:tcW w:w="7012" w:type="dxa"/>
            <w:vAlign w:val="top"/>
            <w:textDirection w:val="lrTb"/>
            <w:noWrap w:val="false"/>
          </w:tcPr>
          <w:p>
            <w:pPr>
              <w:pStyle w:val="1056"/>
              <w:jc w:val="both"/>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评标委员会根据各投标人提供的售后服务方案（对本项目有完整合理的售后服务流程，售后服务人员配备合理、服务响应及时、满足用户需要等）进行评定。</w:t>
            </w:r>
            <w:r/>
          </w:p>
          <w:p>
            <w:pPr>
              <w:pStyle w:val="1056"/>
              <w:jc w:val="both"/>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方案完整合理、内容全面、完全切实可行的得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w:t>
            </w:r>
            <w:r/>
          </w:p>
          <w:p>
            <w:pPr>
              <w:pStyle w:val="1056"/>
              <w:jc w:val="both"/>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方案具体、全面、可行性较强的得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p>
          <w:p>
            <w:pPr>
              <w:pStyle w:val="1056"/>
              <w:jc w:val="both"/>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方案简单、可行性一般的得</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应当将量化指标建立在同一基础或者同一标准上，使各投标文件具有可比性，未提供</w:t>
            </w:r>
            <w:r>
              <w:rPr>
                <w:rFonts w:hint="eastAsia" w:ascii="宋体" w:hAnsi="宋体" w:cs="宋体"/>
                <w:color w:val="000000"/>
                <w:sz w:val="24"/>
                <w:szCs w:val="24"/>
                <w:highlight w:val="none"/>
                <w:lang w:eastAsia="zh-CN"/>
              </w:rPr>
              <w:t xml:space="preserve">或提供不全</w:t>
            </w:r>
            <w:r>
              <w:rPr>
                <w:rFonts w:hint="eastAsia" w:ascii="宋体" w:hAnsi="宋体" w:cs="宋体"/>
                <w:color w:val="000000"/>
                <w:sz w:val="24"/>
                <w:szCs w:val="24"/>
                <w:highlight w:val="none"/>
              </w:rPr>
              <w:t xml:space="preserve">的不得分。</w:t>
            </w:r>
            <w:r/>
          </w:p>
        </w:tc>
      </w:tr>
      <w:tr>
        <w:trPr>
          <w:trHeight w:val="920"/>
        </w:trPr>
        <w:tc>
          <w:tcPr>
            <w:tcW w:w="758" w:type="dxa"/>
            <w:vAlign w:val="center"/>
            <w:vMerge w:val="continue"/>
            <w:textDirection w:val="lrTb"/>
            <w:noWrap w:val="false"/>
          </w:tcPr>
          <w:p>
            <w:pPr>
              <w:pStyle w:val="1056"/>
              <w:ind w:firstLine="240"/>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vMerge w:val="continue"/>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tcW w:w="7012" w:type="dxa"/>
            <w:vAlign w:val="center"/>
            <w:textDirection w:val="lrTb"/>
            <w:noWrap w:val="false"/>
          </w:tcPr>
          <w:p>
            <w:pPr>
              <w:pStyle w:val="1056"/>
              <w:jc w:val="both"/>
              <w:keepLines w:val="0"/>
              <w:keepNext w:val="0"/>
              <w:pageBreakBefore w:val="0"/>
              <w:spacing w:line="400" w:lineRule="exact"/>
              <w:rPr>
                <w:rFonts w:hint="eastAsia" w:ascii="宋体" w:hAnsi="宋体"/>
                <w:color w:val="000000"/>
                <w:sz w:val="24"/>
                <w:highlight w:val="none"/>
                <w:lang w:eastAsia="zh-CN"/>
              </w:rPr>
            </w:pPr>
            <w:r>
              <w:rPr>
                <w:rFonts w:hint="eastAsia" w:ascii="宋体" w:hAnsi="宋体"/>
                <w:color w:val="000000"/>
                <w:sz w:val="24"/>
                <w:highlight w:val="none"/>
              </w:rPr>
              <w:t xml:space="preserve">评标委员会根据各投标人</w:t>
            </w:r>
            <w:r>
              <w:rPr>
                <w:rFonts w:hint="eastAsia" w:ascii="宋体" w:hAnsi="宋体" w:cs="宋体"/>
                <w:color w:val="000000"/>
                <w:sz w:val="24"/>
                <w:highlight w:val="none"/>
              </w:rPr>
              <w:t xml:space="preserve">项目实施方案中</w:t>
            </w:r>
            <w:r>
              <w:rPr>
                <w:rFonts w:hint="eastAsia" w:ascii="宋体" w:hAnsi="宋体"/>
                <w:color w:val="000000"/>
                <w:sz w:val="24"/>
                <w:highlight w:val="none"/>
                <w:lang w:eastAsia="zh-CN"/>
              </w:rPr>
              <w:t xml:space="preserve">培训</w:t>
            </w:r>
            <w:r>
              <w:rPr>
                <w:rFonts w:hint="eastAsia" w:ascii="宋体" w:hAnsi="宋体"/>
                <w:color w:val="000000"/>
                <w:sz w:val="24"/>
                <w:highlight w:val="none"/>
              </w:rPr>
              <w:t xml:space="preserve">方案（培训计划、时间进度、</w:t>
            </w:r>
            <w:r>
              <w:rPr>
                <w:rFonts w:hint="eastAsia" w:ascii="宋体" w:hAnsi="宋体"/>
                <w:color w:val="000000"/>
                <w:sz w:val="24"/>
                <w:highlight w:val="none"/>
                <w:lang w:val="en-US" w:eastAsia="zh-CN"/>
              </w:rPr>
              <w:t xml:space="preserve">培训质量保证</w:t>
            </w:r>
            <w:r>
              <w:rPr>
                <w:rFonts w:hint="eastAsia" w:ascii="宋体" w:hAnsi="宋体"/>
                <w:color w:val="000000"/>
                <w:sz w:val="24"/>
                <w:highlight w:val="none"/>
              </w:rPr>
              <w:t xml:space="preserve">措施等内容）进行评定</w:t>
            </w:r>
            <w:r>
              <w:rPr>
                <w:rFonts w:hint="eastAsia" w:ascii="宋体" w:hAnsi="宋体"/>
                <w:color w:val="000000"/>
                <w:sz w:val="24"/>
                <w:highlight w:val="none"/>
                <w:lang w:eastAsia="zh-CN"/>
              </w:rPr>
              <w:t xml:space="preserve">。</w:t>
            </w:r>
            <w:r/>
          </w:p>
          <w:p>
            <w:pPr>
              <w:pStyle w:val="1056"/>
              <w:jc w:val="both"/>
              <w:keepLines w:val="0"/>
              <w:keepNext w:val="0"/>
              <w:pageBreakBefore w:val="0"/>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方案</w:t>
            </w:r>
            <w:r>
              <w:rPr>
                <w:rFonts w:hint="eastAsia" w:ascii="宋体" w:hAnsi="宋体" w:cs="宋体"/>
                <w:color w:val="000000"/>
                <w:sz w:val="24"/>
                <w:szCs w:val="24"/>
                <w:highlight w:val="none"/>
                <w:lang w:val="en-US" w:eastAsia="zh-CN"/>
              </w:rPr>
              <w:t xml:space="preserve">合</w:t>
            </w:r>
            <w:r>
              <w:rPr>
                <w:rFonts w:hint="eastAsia" w:ascii="宋体" w:hAnsi="宋体" w:cs="宋体"/>
                <w:color w:val="000000"/>
                <w:sz w:val="24"/>
                <w:szCs w:val="24"/>
                <w:highlight w:val="none"/>
              </w:rPr>
              <w:t xml:space="preserve">理性、可行性</w:t>
            </w:r>
            <w:r>
              <w:rPr>
                <w:rFonts w:hint="eastAsia" w:ascii="宋体" w:hAnsi="宋体" w:cs="宋体"/>
                <w:color w:val="000000"/>
                <w:sz w:val="24"/>
                <w:szCs w:val="24"/>
                <w:highlight w:val="none"/>
                <w:lang w:val="zh-CN"/>
              </w:rPr>
              <w:t xml:space="preserve">强的得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CN"/>
              </w:rPr>
              <w:t xml:space="preserve">分；</w:t>
            </w:r>
            <w:r/>
          </w:p>
          <w:p>
            <w:pPr>
              <w:pStyle w:val="1056"/>
              <w:jc w:val="both"/>
              <w:keepLines w:val="0"/>
              <w:keepNext w:val="0"/>
              <w:pageBreakBefore w:val="0"/>
              <w:spacing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合理性、可行性</w:t>
            </w:r>
            <w:r>
              <w:rPr>
                <w:rFonts w:hint="eastAsia" w:ascii="宋体" w:hAnsi="宋体" w:cs="宋体"/>
                <w:color w:val="000000"/>
                <w:sz w:val="24"/>
                <w:szCs w:val="24"/>
                <w:highlight w:val="none"/>
                <w:lang w:val="en-US" w:eastAsia="zh-CN"/>
              </w:rPr>
              <w:t xml:space="preserve">较强</w:t>
            </w:r>
            <w:r>
              <w:rPr>
                <w:rFonts w:hint="eastAsia" w:ascii="宋体" w:hAnsi="宋体" w:cs="宋体"/>
                <w:color w:val="000000"/>
                <w:sz w:val="24"/>
                <w:szCs w:val="24"/>
                <w:highlight w:val="none"/>
                <w:lang w:val="zh-CN"/>
              </w:rPr>
              <w:t xml:space="preserve">的得</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lang w:val="zh-CN"/>
              </w:rPr>
              <w:t xml:space="preserve">分；</w:t>
            </w:r>
            <w:r/>
          </w:p>
          <w:p>
            <w:pPr>
              <w:pStyle w:val="1056"/>
              <w:jc w:val="both"/>
              <w:keepLines w:val="0"/>
              <w:keepNext w:val="0"/>
              <w:pageBreakBefore w:val="0"/>
              <w:spacing w:line="40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合理性、可行性</w:t>
            </w:r>
            <w:r>
              <w:rPr>
                <w:rFonts w:hint="eastAsia" w:ascii="宋体" w:hAnsi="宋体" w:cs="宋体"/>
                <w:color w:val="000000"/>
                <w:sz w:val="24"/>
                <w:szCs w:val="24"/>
                <w:highlight w:val="none"/>
                <w:lang w:val="zh-CN"/>
              </w:rPr>
              <w:t xml:space="preserve">一般的得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应当将量化指标建立在同一基础或者同一标准上，使各投标文件具有可比性，未提供</w:t>
            </w:r>
            <w:r>
              <w:rPr>
                <w:rFonts w:hint="eastAsia" w:ascii="宋体" w:hAnsi="宋体" w:cs="宋体"/>
                <w:color w:val="000000"/>
                <w:sz w:val="24"/>
                <w:szCs w:val="24"/>
                <w:highlight w:val="none"/>
                <w:lang w:eastAsia="zh-CN"/>
              </w:rPr>
              <w:t xml:space="preserve">或提供不全</w:t>
            </w:r>
            <w:r>
              <w:rPr>
                <w:rFonts w:hint="eastAsia" w:ascii="宋体" w:hAnsi="宋体" w:cs="宋体"/>
                <w:color w:val="000000"/>
                <w:sz w:val="24"/>
                <w:szCs w:val="24"/>
                <w:highlight w:val="none"/>
              </w:rPr>
              <w:t xml:space="preserve">的不得分。</w:t>
            </w:r>
            <w:r/>
          </w:p>
        </w:tc>
      </w:tr>
      <w:tr>
        <w:trPr>
          <w:trHeight w:val="90"/>
        </w:trPr>
        <w:tc>
          <w:tcPr>
            <w:tcW w:w="758" w:type="dxa"/>
            <w:vAlign w:val="center"/>
            <w:textDirection w:val="lrTb"/>
            <w:noWrap w:val="false"/>
          </w:tcPr>
          <w:p>
            <w:pPr>
              <w:pStyle w:val="1056"/>
              <w:ind w:firstLine="240"/>
              <w:jc w:val="both"/>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w:t>
            </w:r>
            <w:r/>
          </w:p>
        </w:tc>
        <w:tc>
          <w:tcPr>
            <w:tcW w:w="1243"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环保</w:t>
            </w:r>
            <w:r/>
          </w:p>
          <w:p>
            <w:pPr>
              <w:pStyle w:val="1056"/>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w:t>
            </w:r>
            <w:r/>
          </w:p>
        </w:tc>
        <w:tc>
          <w:tcPr>
            <w:tcW w:w="765" w:type="dxa"/>
            <w:vAlign w:val="center"/>
            <w:textDirection w:val="lrTb"/>
            <w:noWrap w:val="false"/>
          </w:tcPr>
          <w:p>
            <w:pPr>
              <w:pStyle w:val="1056"/>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w:t>
            </w:r>
            <w:r/>
          </w:p>
        </w:tc>
        <w:tc>
          <w:tcPr>
            <w:tcW w:w="7012" w:type="dxa"/>
            <w:vAlign w:val="top"/>
            <w:textDirection w:val="lrTb"/>
            <w:noWrap w:val="false"/>
          </w:tcPr>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056"/>
              <w:jc w:val="both"/>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pStyle w:val="1054"/>
        <w:rPr>
          <w:rFonts w:hint="eastAsia"/>
          <w:highlight w:val="none"/>
        </w:rPr>
        <w:sectPr>
          <w:footerReference w:type="default" r:id="rId16"/>
          <w:footnotePr/>
          <w:endnotePr/>
          <w:type w:val="nextPage"/>
          <w:pgSz w:w="11907" w:h="16840" w:orient="portrait"/>
          <w:pgMar w:top="1440" w:right="1080" w:bottom="1440" w:left="1080" w:header="624" w:footer="992" w:gutter="0"/>
          <w:cols w:num="1" w:sep="0" w:space="1701" w:equalWidth="1"/>
          <w:docGrid w:linePitch="360"/>
        </w:sectPr>
      </w:pPr>
      <w:r>
        <w:rPr>
          <w:rFonts w:hint="eastAsia" w:ascii="宋体" w:hAnsi="宋体" w:eastAsia="宋体" w:cs="宋体"/>
          <w:b/>
          <w:bCs/>
          <w:color w:val="000000"/>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054"/>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p>
    <w:p>
      <w:pPr>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lang w:eastAsia="zh-CN"/>
        </w:rPr>
        <w:t xml:space="preserve">建湖县环境卫生服务中心</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p>
    <w:p>
      <w:pPr>
        <w:ind w:firstLine="480"/>
        <w:keepLines w:val="0"/>
        <w:keepNext w:val="0"/>
        <w:pageBreakBefore w:val="0"/>
        <w:spacing w:line="46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p>
    <w:p>
      <w:pPr>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lang w:eastAsia="zh-CN"/>
        </w:rPr>
        <w:t xml:space="preserve">建湖县建筑装修垃圾收集站改建及县城中转对接站大修项目</w:t>
      </w:r>
      <w:r>
        <w:rPr>
          <w:rFonts w:hint="eastAsia" w:ascii="宋体" w:hAnsi="宋体"/>
          <w:color w:val="000000"/>
          <w:sz w:val="24"/>
          <w:highlight w:val="none"/>
        </w:rPr>
        <w:t xml:space="preserve">相关事项协商一致，达成如下合同条款：</w:t>
      </w:r>
      <w:r/>
    </w:p>
    <w:p>
      <w:pPr>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p>
    <w:p>
      <w:pPr>
        <w:ind w:firstLine="464"/>
        <w:keepLines w:val="0"/>
        <w:keepNext w:val="0"/>
        <w:pageBreakBefore w:val="0"/>
        <w:spacing w:line="480" w:lineRule="exact"/>
        <w:widowControl/>
        <w:rPr>
          <w:rFonts w:hint="eastAsia" w:ascii="宋体" w:hAnsi="宋体"/>
          <w:color w:val="000000"/>
          <w:spacing w:val="-2"/>
          <w:sz w:val="24"/>
          <w:highlight w:val="none"/>
        </w:rPr>
      </w:pPr>
      <w:r>
        <w:rPr>
          <w:rFonts w:hint="eastAsia" w:ascii="宋体" w:hAnsi="宋体" w:cs="宋体"/>
          <w:b w:val="0"/>
          <w:bCs w:val="0"/>
          <w:color w:val="000000"/>
          <w:spacing w:val="-2"/>
          <w:sz w:val="24"/>
          <w:highlight w:val="none"/>
        </w:rPr>
        <w:t xml:space="preserve">1</w:t>
      </w:r>
      <w:r>
        <w:rPr>
          <w:rFonts w:hint="eastAsia" w:ascii="宋体" w:hAnsi="宋体" w:cs="宋体"/>
          <w:b w:val="0"/>
          <w:bCs w:val="0"/>
          <w:color w:val="000000"/>
          <w:spacing w:val="-2"/>
          <w:sz w:val="24"/>
          <w:highlight w:val="none"/>
          <w:lang w:eastAsia="zh-CN"/>
        </w:rPr>
        <w:t xml:space="preserve">、</w:t>
      </w:r>
      <w:r>
        <w:rPr>
          <w:rFonts w:hint="eastAsia" w:ascii="宋体" w:hAnsi="宋体"/>
          <w:color w:val="000000"/>
          <w:spacing w:val="-2"/>
          <w:sz w:val="24"/>
          <w:highlight w:val="none"/>
          <w:lang w:eastAsia="zh-CN"/>
        </w:rPr>
        <w:t xml:space="preserve">合同价</w:t>
      </w:r>
      <w:r>
        <w:rPr>
          <w:rFonts w:hint="eastAsia" w:ascii="宋体" w:hAnsi="宋体"/>
          <w:color w:val="000000"/>
          <w:spacing w:val="-2"/>
          <w:sz w:val="24"/>
          <w:highlight w:val="none"/>
        </w:rPr>
        <w:t xml:space="preserve">应是投标报价是所有</w:t>
      </w:r>
      <w:r>
        <w:rPr>
          <w:rFonts w:hint="eastAsia" w:ascii="宋体" w:hAnsi="宋体"/>
          <w:color w:val="000000"/>
          <w:spacing w:val="-2"/>
          <w:sz w:val="24"/>
          <w:highlight w:val="none"/>
          <w:lang w:eastAsia="zh-CN"/>
        </w:rPr>
        <w:t xml:space="preserve">货物</w:t>
      </w:r>
      <w:r>
        <w:rPr>
          <w:rFonts w:hint="eastAsia" w:ascii="宋体" w:hAnsi="宋体"/>
          <w:color w:val="000000"/>
          <w:spacing w:val="-2"/>
          <w:sz w:val="24"/>
          <w:highlight w:val="none"/>
        </w:rPr>
        <w:t xml:space="preserve">运至甲方指定地点所发生的一切费用的综合报价。</w:t>
      </w:r>
      <w:r>
        <w:rPr>
          <w:rFonts w:hint="eastAsia" w:ascii="宋体" w:hAnsi="宋体" w:cs="宋体"/>
          <w:color w:val="000000"/>
          <w:spacing w:val="-2"/>
          <w:sz w:val="24"/>
          <w:highlight w:val="none"/>
          <w:lang w:val="en-US" w:eastAsia="zh-CN"/>
        </w:rPr>
        <w:t xml:space="preserve">包括但不限于</w:t>
      </w:r>
      <w:r>
        <w:rPr>
          <w:rFonts w:hint="eastAsia" w:ascii="宋体" w:hAnsi="宋体" w:cs="宋体"/>
          <w:color w:val="000000"/>
          <w:spacing w:val="-2"/>
          <w:sz w:val="24"/>
          <w:highlight w:val="none"/>
        </w:rPr>
        <w:t xml:space="preserve">正式有效税务发票、运输、税金、人力费、安装、调试、检验、验收、</w:t>
      </w:r>
      <w:r>
        <w:rPr>
          <w:rFonts w:hint="eastAsia" w:ascii="宋体" w:hAnsi="宋体" w:cs="宋体"/>
          <w:color w:val="000000"/>
          <w:spacing w:val="-2"/>
          <w:sz w:val="24"/>
          <w:highlight w:val="none"/>
          <w:lang w:eastAsia="zh-CN"/>
        </w:rPr>
        <w:t xml:space="preserve">售后维护</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备品备件、</w:t>
      </w:r>
      <w:r>
        <w:rPr>
          <w:rFonts w:hint="eastAsia" w:ascii="宋体" w:hAnsi="宋体" w:cs="宋体"/>
          <w:color w:val="000000"/>
          <w:spacing w:val="-2"/>
          <w:sz w:val="24"/>
          <w:highlight w:val="none"/>
        </w:rPr>
        <w:t xml:space="preserve">培训</w:t>
      </w:r>
      <w:r>
        <w:rPr>
          <w:rFonts w:hint="eastAsia" w:ascii="宋体" w:hAnsi="宋体" w:cs="宋体"/>
          <w:color w:val="000000"/>
          <w:sz w:val="24"/>
          <w:highlight w:val="none"/>
          <w:lang w:val="en-US" w:eastAsia="zh-CN"/>
        </w:rPr>
        <w:t xml:space="preserve">，</w:t>
      </w:r>
      <w:r>
        <w:rPr>
          <w:rFonts w:hint="eastAsia" w:ascii="宋体" w:hAnsi="宋体"/>
          <w:color w:val="000000"/>
          <w:sz w:val="24"/>
          <w:highlight w:val="none"/>
        </w:rPr>
        <w:t xml:space="preserve">等交付使用前一切费用</w:t>
      </w:r>
      <w:r>
        <w:rPr>
          <w:rFonts w:hint="eastAsia" w:ascii="宋体" w:hAnsi="宋体"/>
          <w:bCs/>
          <w:color w:val="000000"/>
          <w:sz w:val="24"/>
          <w:highlight w:val="none"/>
        </w:rPr>
        <w:t xml:space="preserve">、</w:t>
      </w:r>
      <w:r>
        <w:rPr>
          <w:rFonts w:hint="eastAsia" w:ascii="宋体" w:hAnsi="宋体" w:cs="宋体"/>
          <w:color w:val="000000"/>
          <w:spacing w:val="-2"/>
          <w:sz w:val="24"/>
          <w:highlight w:val="none"/>
        </w:rPr>
        <w:t xml:space="preserve">招标代理费、不可预见费及其它相关费用等</w:t>
      </w:r>
      <w:r>
        <w:rPr>
          <w:rFonts w:hint="eastAsia" w:ascii="宋体" w:hAnsi="宋体"/>
          <w:color w:val="000000"/>
          <w:spacing w:val="-2"/>
          <w:sz w:val="24"/>
          <w:highlight w:val="none"/>
        </w:rPr>
        <w:t xml:space="preserve">，对投标人认为没有考虑到的费用项目</w:t>
      </w:r>
      <w:r>
        <w:rPr>
          <w:rFonts w:hint="eastAsia" w:ascii="宋体" w:hAnsi="宋体"/>
          <w:color w:val="000000"/>
          <w:spacing w:val="-2"/>
          <w:sz w:val="24"/>
          <w:highlight w:val="none"/>
          <w:lang w:eastAsia="zh-CN"/>
        </w:rPr>
        <w:t xml:space="preserve">采购单位</w:t>
      </w:r>
      <w:r>
        <w:rPr>
          <w:rFonts w:hint="eastAsia" w:ascii="宋体" w:hAnsi="宋体"/>
          <w:color w:val="000000"/>
          <w:spacing w:val="-2"/>
          <w:sz w:val="24"/>
          <w:highlight w:val="none"/>
        </w:rPr>
        <w:t xml:space="preserve">将不予支付，并认为此项费用已包含在投标报价中。</w:t>
      </w:r>
      <w:r/>
    </w:p>
    <w:p>
      <w:pPr>
        <w:ind w:firstLine="482"/>
        <w:keepLines w:val="0"/>
        <w:keepNext w:val="0"/>
        <w:pageBreakBefore w:val="0"/>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p>
    <w:p>
      <w:pPr>
        <w:ind w:firstLine="480"/>
        <w:keepLines w:val="0"/>
        <w:keepNext w:val="0"/>
        <w:pageBreakBefore w:val="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p>
    <w:p>
      <w:pPr>
        <w:ind w:firstLine="480"/>
        <w:keepLines w:val="0"/>
        <w:keepNext w:val="0"/>
        <w:pageBreakBefore w:val="0"/>
        <w:spacing w:line="520" w:lineRule="exact"/>
        <w:rPr>
          <w:color w:val="000000"/>
          <w:sz w:val="24"/>
          <w:highlight w:val="none"/>
        </w:rPr>
      </w:pPr>
      <w:r>
        <w:rPr>
          <w:rFonts w:hint="eastAsia"/>
          <w:color w:val="000000"/>
          <w:sz w:val="24"/>
          <w:highlight w:val="none"/>
        </w:rPr>
        <w:t xml:space="preserve">（1）乙方提供的投标文件和投标报价表；</w:t>
      </w:r>
      <w:r/>
    </w:p>
    <w:p>
      <w:pPr>
        <w:ind w:firstLine="480"/>
        <w:keepLines w:val="0"/>
        <w:keepNext w:val="0"/>
        <w:pageBreakBefore w:val="0"/>
        <w:spacing w:line="520" w:lineRule="exact"/>
        <w:rPr>
          <w:color w:val="000000"/>
          <w:sz w:val="24"/>
          <w:highlight w:val="none"/>
        </w:rPr>
      </w:pPr>
      <w:r>
        <w:rPr>
          <w:rFonts w:hint="eastAsia"/>
          <w:color w:val="000000"/>
          <w:sz w:val="24"/>
          <w:highlight w:val="none"/>
        </w:rPr>
        <w:t xml:space="preserve">（2）开标一览表；</w:t>
      </w:r>
      <w:r/>
    </w:p>
    <w:p>
      <w:pPr>
        <w:ind w:firstLine="480"/>
        <w:keepLines w:val="0"/>
        <w:keepNext w:val="0"/>
        <w:pageBreakBefore w:val="0"/>
        <w:spacing w:line="520" w:lineRule="exact"/>
        <w:rPr>
          <w:color w:val="000000"/>
          <w:sz w:val="24"/>
          <w:highlight w:val="none"/>
        </w:rPr>
      </w:pPr>
      <w:r>
        <w:rPr>
          <w:rFonts w:hint="eastAsia"/>
          <w:color w:val="000000"/>
          <w:sz w:val="24"/>
          <w:highlight w:val="none"/>
        </w:rPr>
        <w:t xml:space="preserve">（3）投标承诺；</w:t>
      </w:r>
      <w:r/>
    </w:p>
    <w:p>
      <w:pPr>
        <w:ind w:firstLine="480"/>
        <w:keepLines w:val="0"/>
        <w:keepNext w:val="0"/>
        <w:pageBreakBefore w:val="0"/>
        <w:spacing w:line="520" w:lineRule="exact"/>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（4）服务承诺；</w:t>
      </w:r>
      <w:r/>
    </w:p>
    <w:p>
      <w:pPr>
        <w:ind w:firstLine="480"/>
        <w:keepLines w:val="0"/>
        <w:keepNext w:val="0"/>
        <w:pageBreakBefore w:val="0"/>
        <w:spacing w:line="520" w:lineRule="exact"/>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（5）中标或成交通知书；</w:t>
      </w:r>
      <w:r/>
    </w:p>
    <w:p>
      <w:pPr>
        <w:ind w:firstLine="480"/>
        <w:keepLines w:val="0"/>
        <w:keepNext w:val="0"/>
        <w:pageBreakBefore w:val="0"/>
        <w:spacing w:line="520" w:lineRule="exact"/>
        <w:rPr>
          <w:color w:val="000000"/>
          <w:highlight w:val="none"/>
          <w:lang w:val="en-US" w:eastAsia="zh-CN"/>
        </w:rPr>
      </w:pPr>
      <w:r>
        <w:rPr>
          <w:rFonts w:hint="eastAsia" w:ascii="Times New Roman" w:hAnsi="Times New Roman" w:eastAsia="宋体" w:cs="Times New Roman"/>
          <w:color w:val="000000"/>
          <w:sz w:val="24"/>
          <w:highlight w:val="none"/>
          <w:lang w:val="en-US" w:eastAsia="zh-CN"/>
        </w:rPr>
        <w:t xml:space="preserve">（6）甲乙双方商定的其他文件</w:t>
      </w:r>
      <w:r>
        <w:rPr>
          <w:rFonts w:hint="eastAsia" w:ascii="Times New Roman" w:hAnsi="Times New Roman" w:eastAsia="宋体" w:cs="Times New Roman"/>
          <w:color w:val="000000"/>
          <w:sz w:val="24"/>
          <w:highlight w:val="none"/>
        </w:rPr>
        <w:t xml:space="preserve">。</w:t>
      </w:r>
      <w:r/>
    </w:p>
    <w:p>
      <w:pPr>
        <w:ind w:firstLine="482"/>
        <w:spacing w:line="46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三、履约保证金</w:t>
      </w:r>
      <w:r/>
    </w:p>
    <w:p>
      <w:pPr>
        <w:ind w:firstLine="482"/>
        <w:spacing w:line="46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1.乙方</w:t>
      </w:r>
      <w:r>
        <w:rPr>
          <w:rFonts w:hint="eastAsia" w:ascii="宋体" w:hAnsi="宋体" w:cs="宋体"/>
          <w:b w:val="0"/>
          <w:bCs w:val="0"/>
          <w:color w:val="000000"/>
          <w:sz w:val="24"/>
          <w:szCs w:val="24"/>
          <w:highlight w:val="none"/>
        </w:rPr>
        <w:t xml:space="preserve">在签订合同前须向</w:t>
      </w:r>
      <w:r>
        <w:rPr>
          <w:rFonts w:hint="eastAsia" w:ascii="宋体" w:hAnsi="宋体" w:cs="宋体"/>
          <w:b w:val="0"/>
          <w:bCs w:val="0"/>
          <w:color w:val="000000"/>
          <w:sz w:val="24"/>
          <w:szCs w:val="24"/>
          <w:highlight w:val="none"/>
          <w:lang w:val="en-US" w:eastAsia="zh-CN"/>
        </w:rPr>
        <w:t xml:space="preserve">甲方</w:t>
      </w:r>
      <w:r>
        <w:rPr>
          <w:rFonts w:hint="eastAsia" w:ascii="宋体" w:hAnsi="宋体" w:cs="宋体"/>
          <w:b w:val="0"/>
          <w:bCs w:val="0"/>
          <w:color w:val="000000"/>
          <w:sz w:val="24"/>
          <w:szCs w:val="24"/>
          <w:highlight w:val="none"/>
        </w:rPr>
        <w:t xml:space="preserve">交纳中标价的5%作为履约保证金</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人民币</w:t>
      </w:r>
      <w:r>
        <w:rPr>
          <w:rFonts w:hint="eastAsia" w:ascii="宋体" w:hAnsi="宋体" w:cs="宋体"/>
          <w:b w:val="0"/>
          <w:bCs w:val="0"/>
          <w:color w:val="000000"/>
          <w:sz w:val="24"/>
          <w:szCs w:val="24"/>
          <w:highlight w:val="none"/>
          <w:u w:val="single"/>
          <w:lang w:val="en-US" w:eastAsia="zh-CN"/>
        </w:rPr>
        <w:t xml:space="preserve">￥      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b w:val="0"/>
          <w:bCs w:val="0"/>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b w:val="0"/>
          <w:bCs w:val="0"/>
          <w:color w:val="000000"/>
          <w:sz w:val="24"/>
          <w:szCs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s="宋体"/>
          <w:b w:val="0"/>
          <w:bCs w:val="0"/>
          <w:color w:val="000000"/>
          <w:sz w:val="24"/>
          <w:szCs w:val="24"/>
          <w:highlight w:val="none"/>
        </w:rPr>
        <w:t xml:space="preserve">。</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2.合同履行结束后，甲方应及时退还交纳的履约保证金。</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3.履约保证金的退还：</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3.1方式：无息退还至投标人缴纳履约保证金的账户。如为保函，在到期时自行失效。</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3.2时间：验收合格且采购人收到发票后30日内。</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3.3条件：按合同要求全部履约完成并经甲方验收合格，且甲方收到乙方出具的发票。</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3.4不予退还情形：</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（2）乙方不履行与采购人订立的合同的；</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（3）乙方所供货物或服务不符合招标文件规定要求的；</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（4）乙方采取欺骗、弄虚作假方式投标的或与其它投标人串通投标的；</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（5）乙方将合同内容转包、违法分包的；</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（6）乙方故意捏造事实或伪造证明材料，进行虚假恶意投诉或反映的。</w:t>
      </w:r>
      <w:r/>
    </w:p>
    <w:p>
      <w:pPr>
        <w:ind w:firstLine="482"/>
        <w:spacing w:line="46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0"/>
        <w:keepLines w:val="0"/>
        <w:keepNext w:val="0"/>
        <w:pageBreakBefore w:val="0"/>
        <w:spacing w:line="480" w:lineRule="exact"/>
        <w:widowControl/>
        <w:rPr>
          <w:rFonts w:hint="eastAsia" w:ascii="宋体" w:hAnsi="宋体"/>
          <w:b/>
          <w:color w:val="000000"/>
          <w:sz w:val="24"/>
          <w:highlight w:val="none"/>
          <w:lang w:eastAsia="zh-CN"/>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lang w:eastAsia="zh-CN"/>
        </w:rPr>
        <w:t xml:space="preserve">、质量保证</w:t>
      </w:r>
      <w:r/>
    </w:p>
    <w:p>
      <w:pPr>
        <w:ind w:firstLine="472"/>
        <w:keepLines w:val="0"/>
        <w:keepNext w:val="0"/>
        <w:pageBreakBefore w:val="0"/>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p>
    <w:p>
      <w:pPr>
        <w:ind w:firstLine="482"/>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p>
    <w:p>
      <w:pPr>
        <w:ind w:firstLine="470"/>
        <w:keepLines w:val="0"/>
        <w:keepNext w:val="0"/>
        <w:pageBreakBefore w:val="0"/>
        <w:spacing w:line="480" w:lineRule="exact"/>
        <w:widowControl/>
        <w:rPr>
          <w:rFonts w:hint="eastAsia" w:ascii="宋体" w:hAnsi="宋体"/>
          <w:b/>
          <w:color w:val="000000"/>
          <w:sz w:val="24"/>
          <w:highlight w:val="none"/>
        </w:rPr>
      </w:pPr>
      <w:r>
        <w:rPr>
          <w:rFonts w:hint="eastAsia" w:ascii="宋体" w:hAnsi="宋体"/>
          <w:b/>
          <w:color w:val="000000"/>
          <w:sz w:val="24"/>
          <w:highlight w:val="none"/>
          <w:lang w:eastAsia="zh-CN"/>
        </w:rPr>
        <w:t xml:space="preserve">五</w:t>
      </w:r>
      <w:r>
        <w:rPr>
          <w:rFonts w:hint="eastAsia" w:ascii="宋体" w:hAnsi="宋体"/>
          <w:b/>
          <w:color w:val="000000"/>
          <w:sz w:val="24"/>
          <w:highlight w:val="none"/>
        </w:rPr>
        <w:t xml:space="preserve">、产品的运输方式、费用负担及保险</w:t>
      </w:r>
      <w:r/>
    </w:p>
    <w:p>
      <w:pPr>
        <w:ind w:firstLine="468"/>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乙方负责交货前产品的运输及保险，费用由乙方承担。乙方保证用最快捷与安全可靠的方式进行运输。产品运抵交货地点平稳摆放前产生的毁损、灭失风险均由乙方承担。</w:t>
      </w:r>
      <w:r/>
    </w:p>
    <w:p>
      <w:pPr>
        <w:ind w:firstLine="468"/>
        <w:keepLines w:val="0"/>
        <w:keepNext w:val="0"/>
        <w:pageBreakBefore w:val="0"/>
        <w:spacing w:line="480" w:lineRule="exac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keepLines w:val="0"/>
        <w:keepNext w:val="0"/>
        <w:pageBreakBefore w:val="0"/>
        <w:spacing w:line="480" w:lineRule="exact"/>
        <w:widowControl/>
        <w:rPr>
          <w:rFonts w:hint="eastAsia" w:ascii="宋体" w:hAnsi="宋体"/>
          <w:color w:val="000000"/>
          <w:sz w:val="24"/>
          <w:highlight w:val="none"/>
        </w:rPr>
      </w:pPr>
      <w:r>
        <w:rPr>
          <w:rFonts w:hint="eastAsia" w:ascii="宋体" w:hAnsi="宋体"/>
          <w:b/>
          <w:color w:val="000000"/>
          <w:sz w:val="24"/>
          <w:highlight w:val="none"/>
          <w:lang w:eastAsia="zh-CN"/>
        </w:rPr>
        <w:t xml:space="preserve">六</w:t>
      </w:r>
      <w:r>
        <w:rPr>
          <w:rFonts w:hint="eastAsia" w:ascii="宋体" w:hAnsi="宋体"/>
          <w:b/>
          <w:color w:val="000000"/>
          <w:sz w:val="24"/>
          <w:highlight w:val="none"/>
        </w:rPr>
        <w:t xml:space="preserve">、交付与验收</w:t>
      </w:r>
      <w:r/>
    </w:p>
    <w:p>
      <w:pPr>
        <w:ind w:firstLine="482"/>
        <w:jc w:val="left"/>
        <w:keepLines w:val="0"/>
        <w:keepNext w:val="0"/>
        <w:pageBreakBefore w:val="0"/>
        <w:spacing w:line="480" w:lineRule="exact"/>
        <w:widowControl/>
        <w:rPr>
          <w:rFonts w:hint="eastAsia" w:ascii="宋体" w:hAnsi="宋体" w:cs="Arial"/>
          <w:b w:val="0"/>
          <w:bCs/>
          <w:color w:val="000000"/>
          <w:sz w:val="24"/>
          <w:highlight w:val="none"/>
        </w:rPr>
      </w:pPr>
      <w:r>
        <w:rPr>
          <w:rFonts w:hint="eastAsia" w:ascii="宋体" w:hAnsi="宋体"/>
          <w:b/>
          <w:color w:val="000000"/>
          <w:sz w:val="24"/>
          <w:highlight w:val="none"/>
        </w:rPr>
        <w:t xml:space="preserve">1.</w:t>
      </w:r>
      <w:r>
        <w:rPr>
          <w:rFonts w:hint="eastAsia" w:ascii="宋体" w:hAnsi="宋体" w:cs="宋体"/>
          <w:b/>
          <w:color w:val="000000"/>
          <w:sz w:val="24"/>
          <w:highlight w:val="none"/>
        </w:rPr>
        <w:t xml:space="preserve">供货</w:t>
      </w:r>
      <w:r>
        <w:rPr>
          <w:rFonts w:hint="eastAsia" w:ascii="宋体" w:hAnsi="宋体" w:cs="宋体"/>
          <w:b/>
          <w:color w:val="000000"/>
          <w:sz w:val="24"/>
          <w:highlight w:val="none"/>
          <w:lang w:eastAsia="zh-CN"/>
        </w:rPr>
        <w:t xml:space="preserve">期</w:t>
      </w:r>
      <w:r>
        <w:rPr>
          <w:rFonts w:hint="eastAsia" w:ascii="宋体" w:hAnsi="宋体" w:cs="宋体"/>
          <w:b/>
          <w:color w:val="000000"/>
          <w:sz w:val="24"/>
          <w:highlight w:val="none"/>
        </w:rPr>
        <w:t xml:space="preserve">：</w:t>
      </w:r>
      <w:r>
        <w:rPr>
          <w:rFonts w:hint="eastAsia" w:ascii="宋体" w:hAnsi="宋体" w:cs="宋体"/>
          <w:b w:val="0"/>
          <w:bCs/>
          <w:color w:val="000000"/>
          <w:sz w:val="24"/>
          <w:highlight w:val="none"/>
          <w:lang w:val="en-US" w:eastAsia="zh-CN"/>
        </w:rPr>
        <w:t xml:space="preserve">合同签订后</w:t>
      </w:r>
      <w:r>
        <w:rPr>
          <w:rFonts w:hint="eastAsia" w:ascii="宋体" w:hAnsi="宋体" w:cs="宋体"/>
          <w:b w:val="0"/>
          <w:bCs/>
          <w:color w:val="000000"/>
          <w:sz w:val="24"/>
          <w:highlight w:val="none"/>
          <w:u w:val="single"/>
          <w:lang w:val="en-US" w:eastAsia="zh-CN"/>
        </w:rPr>
        <w:t xml:space="preserve">     </w:t>
      </w:r>
      <w:r>
        <w:rPr>
          <w:rFonts w:hint="eastAsia" w:ascii="宋体" w:hAnsi="宋体" w:cs="宋体"/>
          <w:b w:val="0"/>
          <w:bCs/>
          <w:color w:val="000000"/>
          <w:sz w:val="24"/>
          <w:highlight w:val="none"/>
          <w:lang w:val="en-US" w:eastAsia="zh-CN"/>
        </w:rPr>
        <w:t xml:space="preserve">天内供货到指定地点安装、调试、验收等并交付采购人使用；</w:t>
      </w:r>
      <w:r/>
    </w:p>
    <w:p>
      <w:pPr>
        <w:ind w:firstLine="117"/>
        <w:keepLines w:val="0"/>
        <w:keepNext w:val="0"/>
        <w:pageBreakBefore w:val="0"/>
        <w:spacing w:line="48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p>
    <w:p>
      <w:pPr>
        <w:ind w:firstLine="472"/>
        <w:jc w:val="left"/>
        <w:keepLines w:val="0"/>
        <w:keepNext w:val="0"/>
        <w:pageBreakBefore w:val="0"/>
        <w:spacing w:line="48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2"/>
        <w:jc w:val="left"/>
        <w:keepLines w:val="0"/>
        <w:keepNext w:val="0"/>
        <w:pageBreakBefore w:val="0"/>
        <w:spacing w:line="48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keepLines w:val="0"/>
        <w:keepNext w:val="0"/>
        <w:pageBreakBefore w:val="0"/>
        <w:spacing w:line="480" w:lineRule="exact"/>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p>
    <w:p>
      <w:pPr>
        <w:pStyle w:val="1072"/>
        <w:ind w:firstLine="480"/>
        <w:keepLines w:val="0"/>
        <w:keepNext w:val="0"/>
        <w:pageBreakBefore w:val="0"/>
        <w:spacing w:line="480" w:lineRule="exac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5.采购人或者采购代理机构应当按照政府采购合同规定的技术、服务、安全标准组织对供应商履约情况进行验收，并出具验收书。验收书应当包括每一项技术、服务、安全标准的履约情况。</w:t>
      </w:r>
      <w:r/>
    </w:p>
    <w:p>
      <w:pPr>
        <w:ind w:firstLine="472"/>
        <w:keepLines w:val="0"/>
        <w:keepNext w:val="0"/>
        <w:pageBreakBefore w:val="0"/>
        <w:spacing w:line="480" w:lineRule="exact"/>
        <w:rPr>
          <w:rFonts w:hint="eastAsia" w:ascii="宋体" w:hAnsi="宋体"/>
          <w:b/>
          <w:color w:val="000000"/>
          <w:sz w:val="24"/>
          <w:highlight w:val="none"/>
        </w:rPr>
      </w:pPr>
      <w:r>
        <w:rPr>
          <w:rFonts w:hint="eastAsia" w:ascii="宋体" w:hAnsi="宋体"/>
          <w:b/>
          <w:color w:val="000000"/>
          <w:sz w:val="24"/>
          <w:highlight w:val="none"/>
          <w:lang w:eastAsia="zh-CN"/>
        </w:rPr>
        <w:t xml:space="preserve">七</w:t>
      </w:r>
      <w:r>
        <w:rPr>
          <w:rFonts w:hint="eastAsia" w:ascii="宋体" w:hAnsi="宋体"/>
          <w:b/>
          <w:color w:val="000000"/>
          <w:sz w:val="24"/>
          <w:highlight w:val="none"/>
        </w:rPr>
        <w:t xml:space="preserve">、售后服务</w:t>
      </w:r>
      <w:r/>
    </w:p>
    <w:p>
      <w:pPr>
        <w:ind w:firstLine="47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 质保</w:t>
      </w:r>
      <w:r>
        <w:rPr>
          <w:rFonts w:hint="eastAsia" w:ascii="宋体" w:hAnsi="宋体"/>
          <w:color w:val="000000"/>
          <w:sz w:val="24"/>
          <w:highlight w:val="none"/>
          <w:lang w:eastAsia="zh-CN"/>
        </w:rPr>
        <w:t xml:space="preserve">期</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年。如乙方供应的产品因质量原因不能通过相关部门的验收，乙方无偿更换全部产品，不收取任何费用，并承担相应责任。</w:t>
      </w:r>
      <w:r/>
    </w:p>
    <w:p>
      <w:pPr>
        <w:ind w:firstLine="47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 乙方应严格执行厂家的保修规定，质量保证期满后，产品须维修的，供货方或生产方应本着微利服务原则，按最低价格收取维修费用。</w:t>
      </w:r>
      <w:r/>
    </w:p>
    <w:p>
      <w:pPr>
        <w:ind w:firstLine="472"/>
        <w:keepLines w:val="0"/>
        <w:keepNext w:val="0"/>
        <w:pageBreakBefore w:val="0"/>
        <w:spacing w:line="480" w:lineRule="exact"/>
        <w:widowControl/>
        <w:rPr>
          <w:rFonts w:hint="eastAsia" w:ascii="宋体" w:hAnsi="宋体"/>
          <w:b/>
          <w:color w:val="000000"/>
          <w:sz w:val="24"/>
          <w:highlight w:val="none"/>
        </w:rPr>
      </w:pPr>
      <w:r>
        <w:rPr>
          <w:rFonts w:hint="eastAsia" w:ascii="宋体" w:hAnsi="宋体"/>
          <w:b/>
          <w:color w:val="000000"/>
          <w:sz w:val="24"/>
          <w:highlight w:val="none"/>
          <w:lang w:eastAsia="zh-CN"/>
        </w:rPr>
        <w:t xml:space="preserve">八</w:t>
      </w:r>
      <w:r>
        <w:rPr>
          <w:rFonts w:hint="eastAsia" w:ascii="宋体" w:hAnsi="宋体"/>
          <w:b/>
          <w:color w:val="000000"/>
          <w:sz w:val="24"/>
          <w:highlight w:val="none"/>
        </w:rPr>
        <w:t xml:space="preserve">、结算方式及期限</w:t>
      </w:r>
      <w:r/>
    </w:p>
    <w:p>
      <w:pPr>
        <w:ind w:firstLine="482"/>
        <w:keepLines w:val="0"/>
        <w:keepNext w:val="0"/>
        <w:pageBreakBefore w:val="0"/>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结付程序：乙方按本合同内容合格地履行供货义务后，凭验收报告、销售发票办理货款结算手续。</w:t>
      </w:r>
      <w:r/>
    </w:p>
    <w:p>
      <w:pPr>
        <w:ind w:firstLine="475"/>
        <w:keepLines w:val="0"/>
        <w:keepNext w:val="0"/>
        <w:pageBreakBefore w:val="0"/>
        <w:spacing w:line="480" w:lineRule="exact"/>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结付方式及期限：</w:t>
      </w:r>
      <w:r/>
    </w:p>
    <w:p>
      <w:pPr>
        <w:ind w:firstLine="480"/>
        <w:keepLines w:val="0"/>
        <w:keepNext w:val="0"/>
        <w:pageBreakBefore w:val="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keepLines w:val="0"/>
        <w:keepNext w:val="0"/>
        <w:pageBreakBefore w:val="0"/>
        <w:spacing w:line="48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2.2付款方式：</w:t>
      </w:r>
      <w:r>
        <w:rPr>
          <w:rFonts w:hint="eastAsia" w:ascii="宋体" w:hAnsi="宋体" w:cs="Times New Roman"/>
          <w:b/>
          <w:bCs/>
          <w:color w:val="000000"/>
          <w:sz w:val="24"/>
          <w:highlight w:val="none"/>
          <w:lang w:val="en-US" w:eastAsia="zh-CN"/>
        </w:rPr>
        <w:t xml:space="preserve">设备</w:t>
      </w:r>
      <w:r>
        <w:rPr>
          <w:rFonts w:hint="eastAsia" w:ascii="宋体" w:hAnsi="宋体" w:eastAsia="宋体" w:cs="Times New Roman"/>
          <w:b/>
          <w:bCs/>
          <w:color w:val="000000"/>
          <w:sz w:val="24"/>
          <w:highlight w:val="none"/>
          <w:lang w:val="en-US" w:eastAsia="zh-CN"/>
        </w:rPr>
        <w:t xml:space="preserve">安装调试结束、验收合格后付至合同总价的90%，余款10%无质量问题</w:t>
      </w:r>
      <w:r>
        <w:rPr>
          <w:rFonts w:hint="eastAsia" w:ascii="宋体" w:hAnsi="宋体" w:cs="Times New Roman"/>
          <w:b/>
          <w:bCs/>
          <w:color w:val="000000"/>
          <w:sz w:val="24"/>
          <w:highlight w:val="none"/>
          <w:lang w:val="en-US" w:eastAsia="zh-CN"/>
        </w:rPr>
        <w:t xml:space="preserve">且满一年</w:t>
      </w:r>
      <w:r>
        <w:rPr>
          <w:rFonts w:hint="eastAsia" w:ascii="宋体" w:hAnsi="宋体" w:eastAsia="宋体" w:cs="Times New Roman"/>
          <w:b/>
          <w:bCs/>
          <w:color w:val="000000"/>
          <w:sz w:val="24"/>
          <w:highlight w:val="none"/>
          <w:lang w:val="en-US" w:eastAsia="zh-CN"/>
        </w:rPr>
        <w:t xml:space="preserve">后一次</w:t>
      </w:r>
      <w:r>
        <w:rPr>
          <w:rFonts w:hint="eastAsia" w:ascii="宋体" w:hAnsi="宋体" w:cs="Times New Roman"/>
          <w:b/>
          <w:bCs/>
          <w:color w:val="000000"/>
          <w:sz w:val="24"/>
          <w:highlight w:val="none"/>
          <w:lang w:val="en-US" w:eastAsia="zh-CN"/>
        </w:rPr>
        <w:t xml:space="preserve">性</w:t>
      </w:r>
      <w:r>
        <w:rPr>
          <w:rFonts w:hint="eastAsia" w:ascii="宋体" w:hAnsi="宋体" w:eastAsia="宋体" w:cs="Times New Roman"/>
          <w:b/>
          <w:bCs/>
          <w:color w:val="000000"/>
          <w:sz w:val="24"/>
          <w:highlight w:val="none"/>
          <w:lang w:val="en-US" w:eastAsia="zh-CN"/>
        </w:rPr>
        <w:t xml:space="preserve">付清（以审计结果作为结算依据，支付货款时须提供正式发票）。</w:t>
      </w:r>
      <w:r/>
    </w:p>
    <w:p>
      <w:pPr>
        <w:ind w:firstLine="475"/>
        <w:keepLines w:val="0"/>
        <w:keepNext w:val="0"/>
        <w:pageBreakBefore w:val="0"/>
        <w:spacing w:line="480" w:lineRule="exact"/>
        <w:rPr>
          <w:rFonts w:hint="eastAsia" w:ascii="宋体" w:hAnsi="宋体"/>
          <w:color w:val="000000"/>
          <w:sz w:val="24"/>
          <w:highlight w:val="none"/>
        </w:rPr>
      </w:pPr>
      <w:r>
        <w:rPr>
          <w:rFonts w:hint="eastAsia" w:ascii="宋体" w:hAnsi="宋体"/>
          <w:b/>
          <w:color w:val="000000"/>
          <w:sz w:val="24"/>
          <w:highlight w:val="none"/>
          <w:lang w:eastAsia="zh-CN"/>
        </w:rPr>
        <w:t xml:space="preserve">九</w:t>
      </w:r>
      <w:r>
        <w:rPr>
          <w:rFonts w:hint="eastAsia" w:ascii="宋体" w:hAnsi="宋体"/>
          <w:b/>
          <w:color w:val="000000"/>
          <w:sz w:val="24"/>
          <w:highlight w:val="none"/>
        </w:rPr>
        <w:t xml:space="preserve">、</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75"/>
        <w:keepLines w:val="0"/>
        <w:keepNext w:val="0"/>
        <w:pageBreakBefore w:val="0"/>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75"/>
        <w:keepLines w:val="0"/>
        <w:keepNext w:val="0"/>
        <w:pageBreakBefore w:val="0"/>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p>
    <w:p>
      <w:pPr>
        <w:ind w:firstLine="425"/>
        <w:keepLines w:val="0"/>
        <w:keepNext w:val="0"/>
        <w:pageBreakBefore w:val="0"/>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p>
    <w:p>
      <w:pPr>
        <w:ind w:firstLine="472"/>
        <w:keepLines w:val="0"/>
        <w:keepNext w:val="0"/>
        <w:pageBreakBefore w:val="0"/>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p>
    <w:p>
      <w:pPr>
        <w:ind w:firstLine="425"/>
        <w:keepLines w:val="0"/>
        <w:keepNext w:val="0"/>
        <w:pageBreakBefore w:val="0"/>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乙方必须保证项目施工过程中以及货物供应、安装、运输、装卸、使用过程中的安全。如因产品质量不合理、不坚固、施工不规范，以及一切自然损坏而造成的货物损坏和人身伤害事故（不包括不可抗力因素），由乙方承担全部责任；</w:t>
      </w:r>
      <w:r/>
    </w:p>
    <w:p>
      <w:pPr>
        <w:ind w:firstLine="482"/>
        <w:keepLines w:val="0"/>
        <w:keepNext w:val="0"/>
        <w:pageBreakBefore w:val="0"/>
        <w:spacing w:line="480" w:lineRule="exact"/>
        <w:widowControl/>
        <w:rPr>
          <w:rFonts w:ascii="宋体" w:hAnsi="宋体"/>
          <w:b/>
          <w:bCs/>
          <w:color w:val="000000"/>
          <w:sz w:val="24"/>
          <w:highlight w:val="none"/>
        </w:rPr>
      </w:pPr>
      <w:r>
        <w:rPr>
          <w:rFonts w:hint="eastAsia" w:ascii="宋体" w:hAnsi="宋体"/>
          <w:b/>
          <w:bCs/>
          <w:color w:val="000000"/>
          <w:sz w:val="24"/>
          <w:highlight w:val="none"/>
          <w:lang w:eastAsia="zh-CN"/>
        </w:rPr>
        <w:t xml:space="preserve">十</w:t>
      </w:r>
      <w:r>
        <w:rPr>
          <w:rFonts w:hint="eastAsia" w:ascii="宋体" w:hAnsi="宋体"/>
          <w:b/>
          <w:bCs/>
          <w:color w:val="000000"/>
          <w:sz w:val="24"/>
          <w:highlight w:val="none"/>
        </w:rPr>
        <w:t xml:space="preserve">、安全问题</w:t>
      </w:r>
      <w:r/>
    </w:p>
    <w:p>
      <w:pPr>
        <w:ind w:firstLine="480"/>
        <w:keepLines w:val="0"/>
        <w:keepNext w:val="0"/>
        <w:pageBreakBefore w:val="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p>
    <w:p>
      <w:pPr>
        <w:ind w:firstLine="482"/>
        <w:keepLines w:val="0"/>
        <w:keepNext w:val="0"/>
        <w:pageBreakBefore w:val="0"/>
        <w:spacing w:line="48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十一</w:t>
      </w:r>
      <w:r>
        <w:rPr>
          <w:rFonts w:hint="eastAsia" w:ascii="宋体" w:hAnsi="宋体"/>
          <w:b/>
          <w:color w:val="000000"/>
          <w:sz w:val="24"/>
          <w:highlight w:val="none"/>
        </w:rPr>
        <w:t xml:space="preserve">、不可抗力</w:t>
      </w:r>
      <w:r/>
    </w:p>
    <w:p>
      <w:pPr>
        <w:ind w:firstLine="48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p>
    <w:p>
      <w:pPr>
        <w:ind w:firstLine="472"/>
        <w:keepLines w:val="0"/>
        <w:keepNext w:val="0"/>
        <w:pageBreakBefore w:val="0"/>
        <w:spacing w:line="48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十二</w:t>
      </w:r>
      <w:r>
        <w:rPr>
          <w:rFonts w:hint="eastAsia" w:ascii="宋体" w:hAnsi="宋体"/>
          <w:b/>
          <w:color w:val="000000"/>
          <w:sz w:val="24"/>
          <w:highlight w:val="none"/>
        </w:rPr>
        <w:t xml:space="preserve">、其他事项</w:t>
      </w:r>
      <w:r/>
    </w:p>
    <w:p>
      <w:pPr>
        <w:ind w:firstLine="48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82"/>
        <w:keepLines w:val="0"/>
        <w:keepNext w:val="0"/>
        <w:pageBreakBefore w:val="0"/>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三</w:t>
      </w:r>
      <w:r>
        <w:rPr>
          <w:rFonts w:hint="eastAsia" w:ascii="宋体" w:hAnsi="宋体"/>
          <w:b/>
          <w:color w:val="000000"/>
          <w:sz w:val="24"/>
          <w:highlight w:val="none"/>
        </w:rPr>
        <w:t xml:space="preserve">、合同争议解决方式</w:t>
      </w:r>
      <w:r/>
    </w:p>
    <w:p>
      <w:pPr>
        <w:ind w:firstLine="480"/>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keepLines w:val="0"/>
        <w:keepNext w:val="0"/>
        <w:pageBreakBefore w:val="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、其他</w:t>
      </w:r>
      <w:r/>
    </w:p>
    <w:p>
      <w:pPr>
        <w:ind w:firstLine="482"/>
        <w:keepLines w:val="0"/>
        <w:keepNext w:val="0"/>
        <w:pageBreakBefore w:val="0"/>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p>
    <w:p>
      <w:pPr>
        <w:ind w:firstLine="482"/>
        <w:keepLines w:val="0"/>
        <w:keepNext w:val="0"/>
        <w:pageBreakBefore w:val="0"/>
        <w:spacing w:line="48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p>
    <w:p>
      <w:pPr>
        <w:ind w:firstLine="482"/>
        <w:keepLines w:val="0"/>
        <w:keepNext w:val="0"/>
        <w:pageBreakBefore w:val="0"/>
        <w:spacing w:line="48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永道工程咨询（江苏）有限公司</w:t>
      </w:r>
      <w:r>
        <w:rPr>
          <w:rFonts w:hint="eastAsia" w:ascii="宋体" w:hAnsi="宋体"/>
          <w:color w:val="000000"/>
          <w:sz w:val="24"/>
          <w:highlight w:val="none"/>
        </w:rPr>
        <w:t xml:space="preserve">贰份。</w:t>
      </w:r>
      <w:r/>
    </w:p>
    <w:p>
      <w:pPr>
        <w:ind w:firstLine="482"/>
        <w:keepLines w:val="0"/>
        <w:keepNext w:val="0"/>
        <w:pageBreakBefore w:val="0"/>
        <w:spacing w:line="480" w:lineRule="exact"/>
        <w:widowControl/>
        <w:tabs>
          <w:tab w:val="left" w:pos="630" w:leader="none"/>
        </w:tabs>
        <w:rPr>
          <w:rFonts w:hint="eastAsia" w:ascii="宋体" w:hAnsi="宋体" w:eastAsia="宋体" w:cs="宋体"/>
          <w:b/>
          <w:color w:val="000000"/>
          <w:sz w:val="44"/>
          <w:szCs w:val="4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本合同附件包括：招标文件、开标一览表及投标报价表。</w:t>
      </w:r>
      <w:r/>
    </w:p>
    <w:p>
      <w:pPr>
        <w:ind w:firstLine="482"/>
        <w:jc w:val="left"/>
        <w:spacing w:line="440" w:lineRule="exact"/>
        <w:rPr>
          <w:rFonts w:ascii="宋体" w:hAnsi="宋体"/>
          <w:b/>
          <w:bCs/>
          <w:color w:val="000000"/>
          <w:sz w:val="24"/>
          <w:highlight w:val="none"/>
        </w:rPr>
        <w:outlineLvl w:val="0"/>
      </w:pPr>
      <w:r>
        <w:rPr>
          <w:rFonts w:hint="eastAsia" w:ascii="宋体" w:hAnsi="宋体"/>
          <w:b/>
          <w:bCs/>
          <w:color w:val="000000"/>
          <w:sz w:val="24"/>
          <w:highlight w:val="none"/>
          <w:lang w:val="en-US" w:eastAsia="zh-CN"/>
        </w:rPr>
        <w:t xml:space="preserve">5</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r/>
    </w:p>
    <w:p>
      <w:pPr>
        <w:numPr>
          <w:ilvl w:val="0"/>
          <w:numId w:val="0"/>
        </w:numPr>
        <w:ind w:firstLine="1054"/>
        <w:jc w:val="center"/>
        <w:spacing w:line="520" w:lineRule="exact"/>
        <w:rPr>
          <w:b/>
          <w:color w:val="000000"/>
          <w:sz w:val="44"/>
          <w:szCs w:val="44"/>
          <w:highlight w:val="none"/>
        </w:rPr>
      </w:pPr>
      <w:r>
        <w:rPr>
          <w:rFonts w:ascii="宋体" w:hAnsi="宋体"/>
          <w:b/>
          <w:bCs/>
          <w:color w:val="000000"/>
          <w:highlight w:val="none"/>
        </w:rPr>
        <w:br w:type="page" w:clear="all"/>
      </w: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p>
    <w:p>
      <w:pPr>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numPr>
          <w:ilvl w:val="0"/>
          <w:numId w:val="4"/>
        </w:numPr>
        <w:ind w:left="2992" w:firstLine="0"/>
        <w:jc w:val="left"/>
        <w:spacing w:line="480" w:lineRule="exact"/>
        <w:rPr>
          <w:rFonts w:hint="eastAsia" w:ascii="宋体" w:hAnsi="宋体" w:cs="Segoe UI"/>
          <w:b/>
          <w:bCs/>
          <w:color w:val="000000"/>
          <w:sz w:val="28"/>
          <w:szCs w:val="28"/>
          <w:highlight w:val="none"/>
        </w:rPr>
      </w:pPr>
      <w:r>
        <w:rPr>
          <w:rFonts w:hint="eastAsia" w:ascii="宋体" w:hAnsi="宋体" w:cs="Segoe UI"/>
          <w:b/>
          <w:bCs/>
          <w:color w:val="000000"/>
          <w:sz w:val="28"/>
          <w:szCs w:val="28"/>
          <w:highlight w:val="none"/>
        </w:rPr>
        <w:t xml:space="preserve">开标一览表</w:t>
      </w:r>
      <w:r/>
    </w:p>
    <w:p>
      <w:pPr>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项目编号：JSZC-320925-YDGC-G2025-0047</w:t>
      </w:r>
      <w:r/>
    </w:p>
    <w:p>
      <w:pPr>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货币单位：人民币元</w:t>
      </w:r>
      <w:r/>
    </w:p>
    <w:tbl>
      <w:tblPr>
        <w:tblStyle w:val="877"/>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p>
        </w:tc>
        <w:tc>
          <w:tcPr>
            <w:tcW w:w="2301"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（小写）</w:t>
            </w:r>
            <w:r/>
          </w:p>
        </w:tc>
      </w:tr>
      <w:tr>
        <w:trPr>
          <w:trHeight w:val="897"/>
        </w:trPr>
        <w:tc>
          <w:tcPr>
            <w:tcW w:w="388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宋体"/>
                <w:color w:val="000000"/>
                <w:sz w:val="24"/>
                <w:highlight w:val="none"/>
                <w:lang w:eastAsia="zh-CN"/>
              </w:rPr>
              <w:t xml:space="preserve">建湖县建筑装修垃圾收集站改建及县城中转对接站大修项目</w:t>
            </w:r>
            <w:r/>
          </w:p>
        </w:tc>
        <w:tc>
          <w:tcPr>
            <w:tcW w:w="2301"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p>
        </w:tc>
      </w:tr>
      <w:tr>
        <w:trPr>
          <w:trHeight w:val="897"/>
        </w:trPr>
        <w:tc>
          <w:tcPr>
            <w:tcW w:w="3889" w:type="dxa"/>
            <w:vAlign w:val="center"/>
            <w:textDirection w:val="lrTb"/>
            <w:noWrap w:val="false"/>
          </w:tcPr>
          <w:p>
            <w:pPr>
              <w:jc w:val="center"/>
              <w:spacing w:before="100" w:beforeAutospacing="1" w:after="100" w:afterAutospacing="1"/>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核心产品品牌</w:t>
            </w:r>
            <w:r/>
          </w:p>
        </w:tc>
        <w:tc>
          <w:tcPr>
            <w:gridSpan w:val="2"/>
            <w:tcW w:w="5396" w:type="dxa"/>
            <w:vAlign w:val="center"/>
            <w:textDirection w:val="lrTb"/>
            <w:noWrap w:val="false"/>
          </w:tcPr>
          <w:p>
            <w:pPr>
              <w:jc w:val="right"/>
              <w:spacing w:before="100" w:beforeAutospacing="1" w:after="100" w:afterAutospacing="1"/>
              <w:widowControl/>
              <w:rPr>
                <w:rFonts w:hint="eastAsia" w:ascii="宋体" w:hAnsi="宋体" w:cs="Segoe UI"/>
                <w:color w:val="000000"/>
                <w:sz w:val="24"/>
                <w:highlight w:val="none"/>
              </w:rPr>
            </w:pPr>
            <w:r>
              <w:rPr>
                <w:rFonts w:hint="eastAsia" w:ascii="宋体" w:hAnsi="宋体" w:cs="Segoe UI"/>
                <w:color w:val="000000"/>
                <w:sz w:val="24"/>
                <w:highlight w:val="none"/>
              </w:rPr>
            </w:r>
            <w:r/>
          </w:p>
        </w:tc>
      </w:tr>
      <w:tr>
        <w:trPr>
          <w:trHeight w:val="782"/>
        </w:trPr>
        <w:tc>
          <w:tcPr>
            <w:tcW w:w="3889" w:type="dxa"/>
            <w:vAlign w:val="center"/>
            <w:textDirection w:val="lrTb"/>
            <w:noWrap w:val="false"/>
          </w:tcPr>
          <w:p>
            <w:pPr>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（大写）：</w:t>
            </w:r>
            <w:r/>
          </w:p>
        </w:tc>
        <w:tc>
          <w:tcPr>
            <w:gridSpan w:val="2"/>
            <w:tcW w:w="5396" w:type="dxa"/>
            <w:vAlign w:val="center"/>
            <w:textDirection w:val="lrTb"/>
            <w:noWrap w:val="false"/>
          </w:tcPr>
          <w:p>
            <w:pPr>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r>
            <w:r/>
          </w:p>
        </w:tc>
      </w:tr>
    </w:tbl>
    <w:p>
      <w:pPr>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投标人公章：                          </w:t>
      </w:r>
      <w:r/>
    </w:p>
    <w:p>
      <w:pPr>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 （电子签章）</w:t>
      </w:r>
      <w:r/>
    </w:p>
    <w:p>
      <w:pPr>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0"/>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0"/>
        <w:ind w:firstLine="3253"/>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t xml:space="preserve">（二）投标函</w:t>
      </w:r>
      <w:r/>
    </w:p>
    <w:p>
      <w:pPr>
        <w:pStyle w:val="1060"/>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w:t>
      </w:r>
      <w:r>
        <w:rPr>
          <w:rFonts w:hint="eastAsia" w:hAnsi="宋体"/>
          <w:b/>
          <w:bCs/>
          <w:color w:val="000000"/>
          <w:sz w:val="24"/>
          <w:highlight w:val="none"/>
          <w:u w:val="single"/>
          <w:lang w:eastAsia="zh-CN"/>
        </w:rPr>
        <w:t xml:space="preserve">建湖县环境卫生服务中心</w:t>
      </w:r>
      <w:r>
        <w:rPr>
          <w:rFonts w:hint="eastAsia" w:hAnsi="宋体"/>
          <w:color w:val="000000"/>
          <w:sz w:val="24"/>
          <w:highlight w:val="none"/>
          <w:u w:val="single"/>
        </w:rPr>
        <w:t xml:space="preserve"> </w:t>
      </w:r>
      <w:r/>
    </w:p>
    <w:p>
      <w:pPr>
        <w:pStyle w:val="1055"/>
        <w:ind w:firstLine="480"/>
        <w:jc w:val="both"/>
        <w:keepLines w:val="0"/>
        <w:keepNext w:val="0"/>
        <w:pageBreakBefore w:val="0"/>
        <w:spacing w:line="480" w:lineRule="exact"/>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建湖县建筑装修垃圾收集站改建及县城中转对接站大修项目</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lang w:eastAsia="zh-CN"/>
        </w:rPr>
        <w:t xml:space="preserve">总价款</w:t>
      </w:r>
      <w:r>
        <w:rPr>
          <w:rFonts w:ascii="宋体" w:hAnsi="宋体"/>
          <w:color w:val="000000"/>
          <w:sz w:val="24"/>
          <w:highlight w:val="none"/>
        </w:rPr>
        <w:t xml:space="preserve">人民币</w:t>
      </w:r>
      <w:r>
        <w:rPr>
          <w:rFonts w:hint="eastAsia" w:ascii="宋体" w:hAnsi="宋体"/>
          <w:color w:val="000000"/>
          <w:sz w:val="24"/>
          <w:highlight w:val="none"/>
          <w:lang w:eastAsia="zh-CN"/>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ascii="宋体" w:hAnsi="宋体"/>
          <w:color w:val="000000"/>
          <w:sz w:val="24"/>
          <w:highlight w:val="none"/>
        </w:rPr>
        <w:t xml:space="preserve">的投标报价完成本项目，按招标要求实施此项目。</w:t>
      </w:r>
      <w:r/>
    </w:p>
    <w:p>
      <w:p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一旦我方中标，我方保证立即实施此项目，</w:t>
      </w:r>
      <w:r>
        <w:rPr>
          <w:rFonts w:hint="eastAsia" w:ascii="宋体" w:hAnsi="宋体" w:cs="宋体"/>
          <w:color w:val="000000"/>
          <w:sz w:val="24"/>
          <w:highlight w:val="none"/>
          <w:lang w:val="en-US" w:eastAsia="zh-CN"/>
        </w:rPr>
        <w:t xml:space="preserve">合同签订后</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天内供货到指定地点安装、调试、验收等并交付采购人使用；</w:t>
      </w:r>
      <w:r/>
    </w:p>
    <w:p>
      <w:pPr>
        <w:ind w:firstLine="480"/>
        <w:keepLines w:val="0"/>
        <w:keepNext w:val="0"/>
        <w:pageBreakBefore w:val="0"/>
        <w:spacing w:line="480" w:lineRule="exact"/>
        <w:widowControl w:val="off"/>
        <w:rPr>
          <w:rFonts w:hint="eastAsia" w:ascii="宋体" w:hAnsi="宋体"/>
          <w:bCs/>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我方保证所供货物均达到合格产品，质保期为</w:t>
      </w:r>
      <w:r>
        <w:rPr>
          <w:rFonts w:hint="eastAsia" w:ascii="宋体" w:hAnsi="宋体"/>
          <w:i/>
          <w:iCs/>
          <w:color w:val="000000"/>
          <w:sz w:val="24"/>
          <w:highlight w:val="none"/>
          <w:u w:val="single"/>
        </w:rPr>
        <w:t xml:space="preserve">   </w:t>
      </w:r>
      <w:r>
        <w:rPr>
          <w:rFonts w:hint="eastAsia" w:ascii="宋体" w:hAnsi="宋体"/>
          <w:i/>
          <w:iCs/>
          <w:color w:val="000000"/>
          <w:sz w:val="24"/>
          <w:highlight w:val="none"/>
          <w:u w:val="single"/>
          <w:lang w:val="en-US" w:eastAsia="zh-CN"/>
        </w:rPr>
        <w:t xml:space="preserve">   </w:t>
      </w:r>
      <w:r>
        <w:rPr>
          <w:rFonts w:hint="eastAsia" w:ascii="宋体" w:hAnsi="宋体"/>
          <w:i/>
          <w:iCs/>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bCs/>
          <w:color w:val="000000"/>
          <w:sz w:val="24"/>
          <w:highlight w:val="none"/>
        </w:rPr>
        <w:t xml:space="preserve">如乙方供应的产品因质量原因不能通过相关部门的验收，乙方无偿更换全部产品，不收取任何费用，并承担相应责任。</w:t>
      </w:r>
      <w:r/>
    </w:p>
    <w:p>
      <w:pPr>
        <w:pStyle w:val="1072"/>
        <w:ind w:firstLine="480"/>
        <w:keepLines w:val="0"/>
        <w:keepNext w:val="0"/>
        <w:pageBreakBefore w:val="0"/>
        <w:spacing w:line="480" w:lineRule="exact"/>
        <w:widowControl w:val="off"/>
        <w:rPr>
          <w:rFonts w:hint="eastAsia"/>
          <w:b w:val="0"/>
          <w:bCs w:val="0"/>
          <w:color w:val="000000"/>
          <w:highlight w:val="none"/>
        </w:rPr>
      </w:pPr>
      <w:r>
        <w:rPr>
          <w:rFonts w:hint="eastAsia" w:ascii="宋体" w:hAnsi="宋体" w:cs="Arial"/>
          <w:bCs/>
          <w:color w:val="000000"/>
          <w:sz w:val="24"/>
          <w:highlight w:val="none"/>
          <w:lang w:val="en-US" w:eastAsia="zh-CN"/>
        </w:rPr>
        <w:t xml:space="preserve">4.</w:t>
      </w:r>
      <w:r>
        <w:rPr>
          <w:rFonts w:ascii="宋体" w:hAnsi="宋体" w:cs="Arial"/>
          <w:bCs/>
          <w:color w:val="000000"/>
          <w:sz w:val="24"/>
          <w:highlight w:val="none"/>
        </w:rPr>
        <w:t xml:space="preserve">我方本项目的</w:t>
      </w:r>
      <w:r>
        <w:rPr>
          <w:rFonts w:hint="eastAsia" w:ascii="宋体" w:hAnsi="宋体" w:cs="Arial"/>
          <w:b w:val="0"/>
          <w:bCs w:val="0"/>
          <w:color w:val="000000"/>
          <w:sz w:val="24"/>
          <w:highlight w:val="none"/>
        </w:rPr>
        <w:t xml:space="preserve">投标核心产品“</w:t>
      </w:r>
      <w:r>
        <w:rPr>
          <w:rFonts w:hint="eastAsia" w:ascii="宋体" w:hAnsi="宋体" w:cs="Arial"/>
          <w:b w:val="0"/>
          <w:bCs w:val="0"/>
          <w:color w:val="000000"/>
          <w:sz w:val="24"/>
          <w:highlight w:val="none"/>
          <w:lang w:val="en-US" w:eastAsia="zh-CN"/>
        </w:rPr>
        <w:t xml:space="preserve">*升降式建筑垃圾收集箱</w:t>
      </w:r>
      <w:r>
        <w:rPr>
          <w:rFonts w:hint="eastAsia" w:ascii="宋体" w:hAnsi="宋体" w:cs="Arial"/>
          <w:b w:val="0"/>
          <w:bCs w:val="0"/>
          <w:color w:val="000000"/>
          <w:sz w:val="24"/>
          <w:highlight w:val="none"/>
        </w:rPr>
        <w:t xml:space="preserve">”品牌</w:t>
      </w:r>
      <w:r>
        <w:rPr>
          <w:rFonts w:ascii="宋体" w:hAnsi="宋体" w:cs="Arial"/>
          <w:b w:val="0"/>
          <w:bCs w:val="0"/>
          <w:color w:val="000000"/>
          <w:sz w:val="24"/>
          <w:highlight w:val="none"/>
        </w:rPr>
        <w:t xml:space="preserve">为</w:t>
      </w:r>
      <w:r>
        <w:rPr>
          <w:rFonts w:ascii="宋体" w:hAnsi="宋体" w:cs="Arial"/>
          <w:b w:val="0"/>
          <w:bCs w:val="0"/>
          <w:color w:val="000000"/>
          <w:sz w:val="24"/>
          <w:highlight w:val="none"/>
          <w:u w:val="single"/>
        </w:rPr>
        <w:t xml:space="preserve">               </w:t>
      </w:r>
      <w:r>
        <w:rPr>
          <w:rFonts w:hint="eastAsia" w:ascii="宋体" w:hAnsi="宋体" w:cs="Arial"/>
          <w:b w:val="0"/>
          <w:bCs w:val="0"/>
          <w:color w:val="000000"/>
          <w:sz w:val="24"/>
          <w:highlight w:val="none"/>
        </w:rPr>
        <w:t xml:space="preserve">。</w:t>
      </w:r>
      <w:r/>
    </w:p>
    <w:p>
      <w:pPr>
        <w:pStyle w:val="1073"/>
        <w:ind w:left="0" w:firstLine="480"/>
        <w:keepLines w:val="0"/>
        <w:keepNext w:val="0"/>
        <w:pageBreakBefore w:val="0"/>
        <w:spacing w:line="480" w:lineRule="exact"/>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p>
    <w:p>
      <w:pPr>
        <w:ind w:firstLine="480"/>
        <w:keepLines w:val="0"/>
        <w:keepNext w:val="0"/>
        <w:pageBreakBefore w:val="0"/>
        <w:spacing w:line="480" w:lineRule="exact"/>
        <w:widowControl w:val="off"/>
        <w:rPr>
          <w:color w:val="000000"/>
          <w:highlight w:val="none"/>
        </w:rPr>
      </w:pPr>
      <w:r>
        <w:rPr>
          <w:rFonts w:hint="eastAsia" w:ascii="宋体" w:hAnsi="宋体" w:cs="Arial"/>
          <w:bCs/>
          <w:color w:val="000000"/>
          <w:spacing w:val="-4"/>
          <w:sz w:val="24"/>
          <w:szCs w:val="24"/>
          <w:highlight w:val="none"/>
          <w:lang w:val="en-US" w:eastAsia="zh-CN"/>
        </w:rPr>
        <w:t xml:space="preserve">6</w:t>
      </w:r>
      <w:r>
        <w:rPr>
          <w:rFonts w:hint="eastAsia" w:ascii="宋体" w:hAnsi="宋体" w:cs="Arial"/>
          <w:bCs/>
          <w:color w:val="000000"/>
          <w:spacing w:val="-4"/>
          <w:sz w:val="24"/>
          <w:szCs w:val="24"/>
          <w:highlight w:val="none"/>
          <w:lang w:eastAsia="zh-CN"/>
        </w:rPr>
        <w:t xml:space="preserve">.</w:t>
      </w:r>
      <w:r>
        <w:rPr>
          <w:rFonts w:hint="eastAsia" w:ascii="宋体" w:hAnsi="宋体"/>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p>
    <w:p>
      <w:pPr>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p>
    <w:p>
      <w:pPr>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p>
    <w:p>
      <w:pPr>
        <w:ind w:firstLine="480"/>
        <w:keepLines w:val="0"/>
        <w:keepNext w:val="0"/>
        <w:pageBreakBefore w:val="0"/>
        <w:spacing w:line="480" w:lineRule="exact"/>
        <w:widowControl w:val="off"/>
        <w:rPr>
          <w:rFonts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你方的中标通知书和本承诺书将成为约束双方合同文件的组成部分。</w:t>
      </w:r>
      <w:r/>
    </w:p>
    <w:p>
      <w:pPr>
        <w:pStyle w:val="1060"/>
        <w:keepLines w:val="0"/>
        <w:keepNext w:val="0"/>
        <w:pageBreakBefore w:val="0"/>
        <w:spacing w:line="480" w:lineRule="exact"/>
        <w:widowControl w:val="off"/>
        <w:rPr>
          <w:rFonts w:hint="eastAsia" w:hAnsi="宋体"/>
          <w:color w:val="000000"/>
          <w:sz w:val="24"/>
          <w:highlight w:val="none"/>
        </w:rPr>
      </w:pPr>
      <w:r>
        <w:rPr>
          <w:rFonts w:hint="eastAsia" w:hAnsi="宋体"/>
          <w:color w:val="000000"/>
          <w:sz w:val="24"/>
          <w:highlight w:val="none"/>
        </w:rPr>
      </w:r>
      <w:r/>
    </w:p>
    <w:p>
      <w:pPr>
        <w:pStyle w:val="1060"/>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p>
    <w:p>
      <w:pPr>
        <w:pStyle w:val="1060"/>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60"/>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p>
    <w:p>
      <w:pPr>
        <w:pStyle w:val="1060"/>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60"/>
        <w:jc w:val="right"/>
        <w:spacing w:line="480" w:lineRule="exact"/>
        <w:rPr>
          <w:rFonts w:ascii="黑体" w:hAnsi="黑体" w:eastAsia="黑体" w:cs="黑体"/>
          <w:b/>
          <w:color w:val="000000"/>
          <w:sz w:val="36"/>
          <w:szCs w:val="36"/>
          <w:highlight w:val="none"/>
        </w:rPr>
      </w:pPr>
      <w:r>
        <w:rPr>
          <w:rFonts w:hint="eastAsia"/>
          <w:color w:val="000000"/>
          <w:sz w:val="24"/>
          <w:highlight w:val="none"/>
        </w:rPr>
        <w:t xml:space="preserve">日期：      年      月      日</w:t>
      </w:r>
      <w:r/>
    </w:p>
    <w:p>
      <w:pPr>
        <w:pStyle w:val="1051"/>
        <w:rPr>
          <w:color w:val="000000"/>
          <w:highlight w:val="none"/>
        </w:rPr>
      </w:pPr>
      <w:r>
        <w:rPr>
          <w:color w:val="000000"/>
          <w:highlight w:val="none"/>
        </w:rPr>
      </w:r>
      <w:r/>
    </w:p>
    <w:p>
      <w:pPr>
        <w:pStyle w:val="1063"/>
        <w:rPr>
          <w:color w:val="000000"/>
          <w:highlight w:val="none"/>
        </w:rPr>
      </w:pPr>
      <w:r>
        <w:rPr>
          <w:color w:val="000000"/>
          <w:highlight w:val="none"/>
        </w:rPr>
      </w:r>
      <w:r/>
    </w:p>
    <w:p>
      <w:pPr>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p>
    <w:p>
      <w:pPr>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60"/>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lang w:eastAsia="zh-CN"/>
        </w:rPr>
        <w:t xml:space="preserve">建湖县环境卫生服务中心</w:t>
      </w:r>
      <w:r/>
    </w:p>
    <w:p>
      <w:pPr>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建湖县建筑装修垃圾收集站改建及县城中转对接站大修项目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60"/>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p>
    <w:p>
      <w:pPr>
        <w:pStyle w:val="1060"/>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60"/>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p>
    <w:p>
      <w:pPr>
        <w:pStyle w:val="1060"/>
        <w:ind w:left="5250" w:firstLine="403"/>
        <w:spacing w:line="480" w:lineRule="exact"/>
        <w:rPr>
          <w:rFonts w:hAnsi="宋体"/>
          <w:color w:val="000000"/>
          <w:highlight w:val="none"/>
        </w:rPr>
      </w:pPr>
      <w:r>
        <w:rPr>
          <w:rFonts w:hAnsi="宋体"/>
          <w:color w:val="000000"/>
          <w:highlight w:val="none"/>
        </w:rPr>
      </w:r>
      <w:r/>
    </w:p>
    <w:p>
      <w:pPr>
        <w:pStyle w:val="1060"/>
        <w:ind w:left="5250" w:firstLine="403"/>
        <w:spacing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4"/>
        <w:rPr>
          <w:rFonts w:hint="eastAsia"/>
          <w:highlight w:val="none"/>
        </w:rPr>
      </w:pPr>
      <w:r>
        <w:rPr>
          <w:rFonts w:hint="eastAsia"/>
          <w:highlight w:val="none"/>
        </w:rPr>
      </w:r>
      <w:r/>
    </w:p>
    <w:p>
      <w:pPr>
        <w:rPr>
          <w:rFonts w:hint="eastAsia"/>
          <w:color w:val="000000"/>
          <w:highlight w:val="none"/>
        </w:rPr>
      </w:pPr>
      <w:r>
        <w:rPr>
          <w:rFonts w:hint="eastAsia"/>
          <w:color w:val="000000"/>
          <w:highlight w:val="none"/>
        </w:rPr>
      </w:r>
      <w:r/>
    </w:p>
    <w:p>
      <w:pPr>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p>
    <w:p>
      <w:pPr>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W w:w="8112"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W w:w="4485"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W w:w="2322"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W w:w="1185"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W w:w="1905"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2322"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W w:w="1185"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W w:w="1905"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W w:w="2322"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W w:w="1185"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W w:w="19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W w:w="2322"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W w:w="2580"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W w:w="3627"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W w:w="2580"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W w:w="3627"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p>
        </w:tc>
        <w:tc>
          <w:tcPr>
            <w:gridSpan w:val="5"/>
            <w:tcW w:w="8112" w:type="dxa"/>
            <w:vAlign w:val="center"/>
            <w:textDirection w:val="lrTb"/>
            <w:noWrap/>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72"/>
        <w:ind w:left="0" w:firstLine="0"/>
        <w:rPr>
          <w:rFonts w:hint="eastAsia"/>
          <w:color w:val="000000"/>
          <w:highlight w:val="none"/>
        </w:rPr>
      </w:pPr>
      <w:r>
        <w:rPr>
          <w:rFonts w:hint="eastAsia"/>
          <w:color w:val="000000"/>
          <w:highlight w:val="none"/>
        </w:rPr>
      </w:r>
      <w:r/>
    </w:p>
    <w:p>
      <w:pPr>
        <w:pStyle w:val="1060"/>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p>
    <w:p>
      <w:pPr>
        <w:rPr>
          <w:rFonts w:hint="eastAsia" w:ascii="宋体" w:hAnsi="宋体"/>
          <w:color w:val="000000"/>
          <w:sz w:val="32"/>
          <w:highlight w:val="none"/>
        </w:rPr>
      </w:pPr>
      <w:r>
        <w:rPr>
          <w:rFonts w:hint="eastAsia" w:ascii="宋体" w:hAnsi="宋体"/>
          <w:color w:val="000000"/>
          <w:sz w:val="32"/>
          <w:highlight w:val="none"/>
        </w:rPr>
      </w:r>
      <w:r/>
    </w:p>
    <w:p>
      <w:pPr>
        <w:rPr>
          <w:rFonts w:hint="eastAsia" w:ascii="宋体" w:hAnsi="宋体"/>
          <w:color w:val="000000"/>
          <w:sz w:val="32"/>
          <w:highlight w:val="none"/>
        </w:rPr>
      </w:pPr>
      <w:r>
        <w:rPr>
          <w:rFonts w:hint="eastAsia" w:ascii="宋体" w:hAnsi="宋体"/>
          <w:color w:val="000000"/>
          <w:sz w:val="32"/>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hint="eastAsia" w:ascii="宋体" w:hAnsi="宋体"/>
          <w:color w:val="000000"/>
          <w:sz w:val="24"/>
          <w:highlight w:val="none"/>
        </w:rPr>
      </w:pPr>
      <w:r>
        <w:rPr>
          <w:rFonts w:hint="eastAsia" w:ascii="宋体" w:hAnsi="宋体"/>
          <w:color w:val="000000"/>
          <w:sz w:val="24"/>
          <w:highlight w:val="none"/>
        </w:rPr>
        <w:t xml:space="preserve">  </w:t>
      </w:r>
      <w:r/>
    </w:p>
    <w:p>
      <w:pPr>
        <w:rPr>
          <w:rFonts w:hint="eastAsia" w:ascii="宋体" w:hAnsi="宋体"/>
          <w:color w:val="000000"/>
          <w:sz w:val="24"/>
          <w:highlight w:val="none"/>
        </w:rPr>
      </w:pPr>
      <w:r>
        <w:rPr>
          <w:rFonts w:hint="eastAsia" w:ascii="宋体" w:hAnsi="宋体"/>
          <w:color w:val="000000"/>
          <w:sz w:val="24"/>
          <w:highlight w:val="none"/>
        </w:rPr>
      </w:r>
      <w:r/>
    </w:p>
    <w:p>
      <w:pPr>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p>
    <w:p>
      <w:pPr>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t xml:space="preserve">特此证明。</w:t>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rPr>
          <w:rFonts w:hint="eastAsia" w:ascii="宋体" w:hAnsi="宋体"/>
          <w:color w:val="000000"/>
          <w:sz w:val="24"/>
          <w:highlight w:val="none"/>
          <w:u w:val="single"/>
        </w:rPr>
      </w:pPr>
      <w:r>
        <w:rPr>
          <w:rFonts w:hint="eastAsia" w:ascii="宋体" w:hAnsi="宋体"/>
          <w:color w:val="000000"/>
          <w:sz w:val="24"/>
          <w:highlight w:val="none"/>
          <w:u w:val="single"/>
        </w:rPr>
      </w:r>
      <w:r/>
    </w:p>
    <w:p>
      <w:pPr>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pStyle w:val="106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rPr>
          <w:rFonts w:hint="eastAsia"/>
          <w:color w:val="000000"/>
          <w:highlight w:val="none"/>
        </w:rPr>
      </w:pPr>
      <w:r>
        <w:rPr>
          <w:rFonts w:hint="eastAsia"/>
          <w:color w:val="000000"/>
          <w:highlight w:val="none"/>
        </w:rPr>
      </w:r>
      <w:r/>
    </w:p>
    <w:p>
      <w:pPr>
        <w:pStyle w:val="1060"/>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rPr>
          <w:rFonts w:hint="eastAsia"/>
          <w:color w:val="000000"/>
          <w:highlight w:val="none"/>
        </w:rPr>
      </w:pPr>
      <w:r>
        <w:rPr>
          <w:rFonts w:hint="eastAsia"/>
          <w:color w:val="000000"/>
          <w:highlight w:val="none"/>
        </w:rPr>
      </w:r>
      <w:r/>
    </w:p>
    <w:p>
      <w:pPr>
        <w:pStyle w:val="1060"/>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0"/>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p>
    <w:p>
      <w:pPr>
        <w:ind w:firstLine="480"/>
        <w:jc w:val="left"/>
        <w:spacing w:line="500" w:lineRule="exact"/>
        <w:rPr>
          <w:rFonts w:ascii="宋体" w:hAnsi="宋体"/>
          <w:color w:val="000000"/>
          <w:sz w:val="24"/>
          <w:highlight w:val="none"/>
        </w:rPr>
      </w:pPr>
      <w:r>
        <w:rPr>
          <w:rFonts w:ascii="宋体" w:hAnsi="宋体"/>
          <w:color w:val="000000"/>
          <w:sz w:val="24"/>
          <w:highlight w:val="none"/>
        </w:rPr>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p>
    <w:p>
      <w:pPr>
        <w:ind w:firstLine="480"/>
        <w:jc w:val="left"/>
        <w:spacing w:line="500" w:lineRule="exact"/>
        <w:rPr>
          <w:rFonts w:ascii="宋体" w:hAnsi="宋体"/>
          <w:color w:val="000000"/>
          <w:sz w:val="24"/>
          <w:highlight w:val="none"/>
        </w:rPr>
      </w:pPr>
      <w:r>
        <w:rPr>
          <w:rFonts w:ascii="宋体" w:hAnsi="宋体"/>
          <w:color w:val="000000"/>
          <w:sz w:val="24"/>
          <w:highlight w:val="none"/>
        </w:rPr>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p>
    <w:p>
      <w:pPr>
        <w:rPr>
          <w:rFonts w:hint="eastAsia" w:ascii="宋体" w:hAnsi="宋体"/>
          <w:color w:val="000000"/>
          <w:sz w:val="24"/>
          <w:highlight w:val="none"/>
        </w:rPr>
      </w:pPr>
      <w:r>
        <w:rPr>
          <w:rFonts w:hint="eastAsia" w:ascii="宋体" w:hAnsi="宋体"/>
          <w:color w:val="000000"/>
          <w:sz w:val="24"/>
          <w:highlight w:val="none"/>
        </w:rPr>
      </w:r>
      <w:r/>
    </w:p>
    <w:p>
      <w:pPr>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t xml:space="preserve">附：</w:t>
      </w:r>
      <w:r/>
    </w:p>
    <w:tbl>
      <w:tblPr>
        <w:tblStyle w:val="87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p>
    <w:p>
      <w:pPr>
        <w:jc w:val="left"/>
        <w:spacing w:line="480" w:lineRule="exact"/>
        <w:rPr>
          <w:rFonts w:ascii="宋体" w:hAnsi="宋体"/>
          <w:color w:val="000000"/>
          <w:sz w:val="24"/>
          <w:highlight w:val="none"/>
        </w:rPr>
      </w:pPr>
      <w:r>
        <w:rPr>
          <w:rFonts w:ascii="宋体" w:hAnsi="宋体"/>
          <w:color w:val="000000"/>
          <w:sz w:val="24"/>
          <w:highlight w:val="none"/>
        </w:rPr>
      </w:r>
      <w:r/>
    </w:p>
    <w:p>
      <w:pPr>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法定代表人签名：</w:t>
      </w:r>
      <w:r/>
    </w:p>
    <w:p>
      <w:pPr>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p>
    <w:p>
      <w:pPr>
        <w:jc w:val="left"/>
        <w:spacing w:after="156" w:line="480" w:lineRule="exact"/>
        <w:rPr>
          <w:rFonts w:ascii="宋体" w:hAnsi="宋体"/>
          <w:bCs/>
          <w:color w:val="000000"/>
          <w:sz w:val="24"/>
          <w:highlight w:val="none"/>
        </w:rPr>
      </w:pPr>
      <w:r>
        <w:rPr>
          <w:rFonts w:ascii="宋体" w:hAnsi="宋体"/>
          <w:bCs/>
          <w:color w:val="000000"/>
          <w:sz w:val="24"/>
          <w:highlight w:val="none"/>
        </w:rPr>
      </w:r>
      <w:r/>
    </w:p>
    <w:p>
      <w:pPr>
        <w:jc w:val="right"/>
        <w:spacing w:after="156" w:line="480" w:lineRule="exact"/>
        <w:rPr>
          <w:rFonts w:hint="eastAsia" w:ascii="黑体" w:hAnsi="黑体" w:eastAsia="黑体" w:cs="黑体"/>
          <w:b/>
          <w:color w:val="000000"/>
          <w:sz w:val="36"/>
          <w:szCs w:val="36"/>
          <w:highlight w:val="none"/>
        </w:rPr>
      </w:pPr>
      <w:r>
        <w:rPr>
          <w:rFonts w:hint="eastAsia" w:ascii="宋体" w:hAnsi="宋体"/>
          <w:bCs/>
          <w:color w:val="000000"/>
          <w:sz w:val="24"/>
          <w:highlight w:val="none"/>
        </w:rPr>
        <w:t xml:space="preserve">年    月    日</w:t>
      </w:r>
      <w:r/>
    </w:p>
    <w:p>
      <w:pPr>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78"/>
        <w:ind w:left="0" w:firstLine="0"/>
        <w:rPr>
          <w:rFonts w:hint="eastAsia"/>
          <w:color w:val="000000"/>
          <w:highlight w:val="none"/>
        </w:rPr>
      </w:pPr>
      <w:r>
        <w:rPr>
          <w:rFonts w:hint="eastAsia"/>
          <w:color w:val="000000"/>
          <w:highlight w:val="none"/>
        </w:rPr>
      </w:r>
      <w:r/>
    </w:p>
    <w:p>
      <w:pPr>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p>
    <w:p>
      <w:pPr>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p>
    <w:p>
      <w:pPr>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p>
    <w:p>
      <w:pPr>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w:t>
      </w:r>
      <w:r/>
    </w:p>
    <w:p>
      <w:pPr>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p>
    <w:p>
      <w:pPr>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jc w:val="right"/>
        <w:spacing w:line="500" w:lineRule="exact"/>
        <w:widowControl/>
        <w:rPr>
          <w:color w:val="000000"/>
          <w:highlight w:val="none"/>
        </w:rPr>
      </w:pPr>
      <w:r>
        <w:rPr>
          <w:rFonts w:hint="eastAsia" w:ascii="宋体" w:hAnsi="宋体"/>
          <w:color w:val="000000"/>
          <w:sz w:val="24"/>
          <w:szCs w:val="22"/>
          <w:highlight w:val="none"/>
        </w:rPr>
        <w:t xml:space="preserve">年    月    日</w:t>
      </w:r>
      <w:r/>
    </w:p>
    <w:p>
      <w:pPr>
        <w:jc w:val="both"/>
        <w:spacing w:line="440" w:lineRule="exact"/>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jc w:val="center"/>
        <w:rPr>
          <w:rFonts w:ascii="黑体" w:hAnsi="黑体" w:eastAsia="黑体" w:cs="黑体"/>
          <w:color w:val="000000"/>
          <w:highlight w:val="none"/>
        </w:rPr>
      </w:pPr>
      <w:r>
        <w:rPr>
          <w:rFonts w:hint="eastAsia" w:ascii="黑体" w:hAnsi="黑体" w:eastAsia="黑体" w:cs="黑体"/>
          <w:b/>
          <w:color w:val="000000"/>
          <w:sz w:val="36"/>
          <w:szCs w:val="36"/>
          <w:highlight w:val="none"/>
        </w:rPr>
        <w:t xml:space="preserve">（九）中小企业声明函（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p>
    <w:p>
      <w:pPr>
        <w:ind w:firstLine="480"/>
        <w:spacing w:line="660" w:lineRule="exact"/>
        <w:shd w:val="clear" w:color="auto" w:fill="auto"/>
        <w:widowControl/>
        <w:rPr>
          <w:rFonts w:hint="eastAsia" w:ascii="宋体" w:hAnsi="宋体" w:cs="宋体"/>
          <w:bCs/>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建湖县环境卫生服务中心</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建湖县建筑装修垃圾收集站改建及县城中转对接站大修项目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p>
    <w:p>
      <w:pPr>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p>
    <w:p>
      <w:pPr>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p>
    <w:p>
      <w:pPr>
        <w:pStyle w:val="1054"/>
        <w:ind w:firstLine="630"/>
        <w:shd w:val="clear" w:color="auto" w:fill="auto"/>
        <w:rPr>
          <w:rFonts w:hint="eastAsia"/>
          <w:color w:val="000000"/>
          <w:highlight w:val="none"/>
        </w:rPr>
      </w:pPr>
      <w:r>
        <w:rPr>
          <w:rFonts w:hint="eastAsia"/>
          <w:color w:val="000000"/>
          <w:highlight w:val="none"/>
          <w:lang w:val="en-US" w:eastAsia="zh-CN"/>
        </w:rPr>
        <w:t xml:space="preserve">....</w:t>
      </w:r>
      <w:r/>
    </w:p>
    <w:p>
      <w:pPr>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p>
    <w:p>
      <w:pPr>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w:t>
      </w:r>
      <w:r/>
    </w:p>
    <w:p>
      <w:pPr>
        <w:ind w:firstLine="480"/>
        <w:jc w:val="center"/>
        <w:spacing w:line="6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p>
    <w:p>
      <w:pPr>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p>
    <w:p>
      <w:pPr>
        <w:spacing w:line="480" w:lineRule="exact"/>
        <w:tabs>
          <w:tab w:val="left" w:pos="180" w:leader="none"/>
        </w:tabs>
        <w:rPr>
          <w:rFonts w:hint="eastAsia" w:ascii="宋体" w:hAnsi="宋体" w:cs="宋体"/>
          <w:b/>
          <w:color w:val="000000"/>
          <w:sz w:val="32"/>
          <w:szCs w:val="32"/>
          <w:highlight w:val="none"/>
        </w:rPr>
      </w:pPr>
      <w:r>
        <w:rPr>
          <w:rFonts w:hint="eastAsia" w:ascii="宋体" w:hAnsi="宋体" w:cs="宋体"/>
          <w:b/>
          <w:bCs/>
          <w:color w:val="000000"/>
          <w:sz w:val="24"/>
          <w:highlight w:val="none"/>
          <w:lang w:bidi="ar"/>
        </w:rPr>
        <w:t xml:space="preserve">注：</w:t>
      </w:r>
      <w:r>
        <w:rPr>
          <w:rFonts w:hint="eastAsia" w:ascii="宋体" w:hAnsi="宋体"/>
          <w:b/>
          <w:bCs/>
          <w:color w:val="000000"/>
          <w:sz w:val="24"/>
          <w:highlight w:val="none"/>
        </w:rPr>
        <w:t xml:space="preserve">供应商如不提供此声明函或不提供证明材料的，投标报价将不做相应扣除。</w:t>
      </w:r>
      <w:r/>
    </w:p>
    <w:p>
      <w:pPr>
        <w:spacing w:line="360" w:lineRule="auto"/>
        <w:tabs>
          <w:tab w:val="left" w:pos="180" w:leader="none"/>
        </w:tabs>
        <w:rPr>
          <w:rFonts w:ascii="宋体" w:hAnsi="宋体" w:cs="宋体"/>
          <w:b/>
          <w:bCs/>
          <w:color w:val="000000"/>
          <w:sz w:val="24"/>
          <w:szCs w:val="20"/>
          <w:highlight w:val="none"/>
          <w:lang w:bidi="ar"/>
        </w:rPr>
      </w:pPr>
      <w:r>
        <w:rPr>
          <w:rFonts w:ascii="宋体" w:hAnsi="宋体" w:cs="宋体"/>
          <w:b/>
          <w:bCs/>
          <w:color w:val="000000"/>
          <w:sz w:val="24"/>
          <w:szCs w:val="20"/>
          <w:highlight w:val="none"/>
          <w:lang w:bidi="ar"/>
        </w:rPr>
      </w:r>
      <w:r/>
    </w:p>
    <w:p>
      <w:pPr>
        <w:rPr>
          <w:rFonts w:ascii="宋体" w:hAnsi="宋体" w:cs="宋体"/>
          <w:b/>
          <w:bCs/>
          <w:color w:val="000000"/>
          <w:sz w:val="24"/>
          <w:highlight w:val="none"/>
          <w:lang w:bidi="ar"/>
        </w:rPr>
      </w:pPr>
      <w:r>
        <w:rPr>
          <w:rFonts w:hint="eastAsia" w:ascii="Times New Roman" w:hAnsi="Times New Roman"/>
          <w:color w:val="000000"/>
          <w:sz w:val="16"/>
          <w:szCs w:val="18"/>
          <w:highlight w:val="none"/>
          <w:u w:val="single"/>
        </w:rPr>
        <w:t xml:space="preserve">                                  </w:t>
      </w:r>
      <w:r/>
    </w:p>
    <w:p>
      <w:pPr>
        <w:rPr>
          <w:color w:val="000000"/>
          <w:highlight w:val="none"/>
          <w:u w:val="single"/>
        </w:rPr>
      </w:pPr>
      <w:r>
        <w:rPr>
          <w:color w:val="000000"/>
          <w:highlight w:val="none"/>
          <w:u w:val="single"/>
        </w:rPr>
      </w:r>
      <w:r/>
    </w:p>
    <w:p>
      <w:pPr>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p>
    <w:p>
      <w:pPr>
        <w:pStyle w:val="1050"/>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p>
    <w:p>
      <w:pPr>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p>
    <w:p>
      <w:pPr>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p>
    <w:p>
      <w:pPr>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p>
    <w:p>
      <w:pPr>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p>
    <w:p>
      <w:pPr>
        <w:pStyle w:val="1072"/>
        <w:shd w:val="clear" w:color="auto" w:fill="auto"/>
        <w:rPr>
          <w:rFonts w:hint="eastAsia"/>
          <w:color w:val="000000"/>
          <w:highlight w:val="none"/>
        </w:rPr>
      </w:pPr>
      <w:r>
        <w:rPr>
          <w:rFonts w:hint="eastAsia"/>
          <w:color w:val="000000"/>
          <w:highlight w:val="none"/>
        </w:rPr>
      </w:r>
      <w:r/>
    </w:p>
    <w:p>
      <w:pPr>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p>
    <w:p>
      <w:pPr>
        <w:pStyle w:val="1050"/>
        <w:jc w:val="center"/>
        <w:shd w:val="clear" w:color="auto" w:fill="auto"/>
        <w:rPr>
          <w:rFonts w:hint="eastAsia" w:ascii="宋体" w:hAnsi="宋体"/>
          <w:color w:val="000000"/>
          <w:highlight w:val="none"/>
        </w:rPr>
      </w:pPr>
      <w:r>
        <w:rPr>
          <w:rFonts w:hint="eastAsia" w:ascii="宋体" w:hAnsi="宋体"/>
          <w:color w:val="000000"/>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321"/>
        <w:jc w:val="both"/>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p>
    <w:p>
      <w:pPr>
        <w:pStyle w:val="1050"/>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ascii="宋体" w:hAnsi="宋体"/>
          <w:bCs/>
          <w:color w:val="000000"/>
          <w:sz w:val="24"/>
          <w:highlight w:val="none"/>
        </w:rPr>
      </w:r>
      <w:r/>
    </w:p>
    <w:p>
      <w:pPr>
        <w:pStyle w:val="1050"/>
        <w:jc w:val="center"/>
        <w:rPr>
          <w:rFonts w:ascii="宋体" w:hAnsi="宋体"/>
          <w:bCs w:val="0"/>
          <w:color w:val="000000"/>
          <w:sz w:val="24"/>
          <w:highlight w:val="none"/>
        </w:rPr>
      </w:pPr>
      <w:r>
        <w:rPr>
          <w:rFonts w:ascii="宋体" w:hAnsi="宋体"/>
          <w:bCs w:val="0"/>
          <w:color w:val="000000"/>
          <w:sz w:val="24"/>
          <w:highlight w:val="none"/>
        </w:rPr>
      </w:r>
      <w:r/>
    </w:p>
    <w:p>
      <w:pPr>
        <w:pStyle w:val="1050"/>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72"/>
        <w:ind w:firstLine="210"/>
        <w:rPr>
          <w:rFonts w:hint="eastAsia"/>
          <w:color w:val="000000"/>
          <w:highlight w:val="none"/>
        </w:rPr>
      </w:pPr>
      <w:r>
        <w:rPr>
          <w:rFonts w:hint="eastAsia"/>
          <w:color w:val="000000"/>
          <w:highlight w:val="none"/>
        </w:rPr>
      </w:r>
      <w:r/>
    </w:p>
    <w:p>
      <w:pPr>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4"/>
        <w:rPr>
          <w:rFonts w:hint="eastAsia"/>
          <w:highlight w:val="none"/>
        </w:rPr>
      </w:pPr>
      <w:r>
        <w:rPr>
          <w:rFonts w:hint="eastAsia"/>
          <w:highlight w:val="none"/>
        </w:rPr>
      </w:r>
      <w:r/>
    </w:p>
    <w:p>
      <w:pP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ind w:firstLine="643"/>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）清单报价表</w:t>
      </w:r>
      <w:r/>
    </w:p>
    <w:p>
      <w:pPr>
        <w:jc w:val="left"/>
        <w:keepLines w:val="0"/>
        <w:keepNext w:val="0"/>
        <w:pageBreakBefore w:val="0"/>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建湖县环境卫生服务中心</w:t>
      </w:r>
      <w:r>
        <w:rPr>
          <w:rFonts w:hint="eastAsia" w:ascii="宋体" w:hAnsi="宋体"/>
          <w:color w:val="000000"/>
          <w:sz w:val="24"/>
          <w:szCs w:val="22"/>
          <w:highlight w:val="none"/>
          <w:u w:val="single"/>
        </w:rPr>
        <w:t xml:space="preserve">：</w:t>
      </w:r>
      <w:r/>
    </w:p>
    <w:p>
      <w:p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w:t>
      </w:r>
      <w:r>
        <w:rPr>
          <w:rFonts w:hint="eastAsia" w:ascii="宋体" w:hAnsi="宋体"/>
          <w:color w:val="000000"/>
          <w:sz w:val="24"/>
          <w:highlight w:val="none"/>
          <w:lang w:val="en-US" w:eastAsia="zh-CN"/>
        </w:rPr>
        <w:t xml:space="preserve">产品及服务</w:t>
      </w:r>
      <w:r>
        <w:rPr>
          <w:rFonts w:hint="eastAsia" w:ascii="宋体" w:hAnsi="宋体"/>
          <w:color w:val="000000"/>
          <w:sz w:val="24"/>
          <w:highlight w:val="none"/>
        </w:rPr>
        <w:t xml:space="preserve">，并保证所供</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为原厂合格产品，提供</w:t>
      </w:r>
      <w:r>
        <w:rPr>
          <w:rFonts w:hint="eastAsia" w:ascii="宋体" w:hAnsi="宋体"/>
          <w:color w:val="000000"/>
          <w:sz w:val="24"/>
          <w:highlight w:val="none"/>
          <w:lang w:val="en-US" w:eastAsia="zh-CN"/>
        </w:rPr>
        <w:t xml:space="preserve">服务为</w:t>
      </w:r>
      <w:r>
        <w:rPr>
          <w:rFonts w:hint="eastAsia" w:ascii="宋体" w:hAnsi="宋体"/>
          <w:color w:val="000000"/>
          <w:sz w:val="24"/>
          <w:highlight w:val="none"/>
        </w:rPr>
        <w:t xml:space="preserve">优质服务。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w:t>
      </w:r>
      <w:r/>
    </w:p>
    <w:p>
      <w:pPr>
        <w:ind w:firstLine="480"/>
        <w:jc w:val="righ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单位： 人民币元</w:t>
      </w:r>
      <w:r/>
    </w:p>
    <w:tbl>
      <w:tblPr>
        <w:tblStyle w:val="877"/>
        <w:tblW w:w="54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1664"/>
        <w:gridCol w:w="2549"/>
        <w:gridCol w:w="1218"/>
        <w:gridCol w:w="825"/>
        <w:gridCol w:w="900"/>
        <w:gridCol w:w="1035"/>
        <w:gridCol w:w="1005"/>
        <w:gridCol w:w="843"/>
      </w:tblGrid>
      <w:tr>
        <w:trPr>
          <w:jc w:val="center"/>
          <w:trHeight w:val="934"/>
        </w:trPr>
        <w:tc>
          <w:tcPr>
            <w:tcW w:w="481"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序号</w:t>
            </w:r>
            <w:r/>
          </w:p>
        </w:tc>
        <w:tc>
          <w:tcPr>
            <w:tcW w:w="1664"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名称</w:t>
            </w:r>
            <w:r/>
          </w:p>
        </w:tc>
        <w:tc>
          <w:tcPr>
            <w:tcW w:w="2550" w:type="dxa"/>
            <w:vAlign w:val="center"/>
            <w:textDirection w:val="lrTb"/>
            <w:noWrap w:val="false"/>
          </w:tcPr>
          <w:p>
            <w:pPr>
              <w:ind w:firstLine="241"/>
              <w:jc w:val="both"/>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技术要求</w:t>
            </w:r>
            <w:r/>
          </w:p>
        </w:tc>
        <w:tc>
          <w:tcPr>
            <w:tcW w:w="1218"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投标品牌及型号</w:t>
            </w:r>
            <w:r/>
          </w:p>
        </w:tc>
        <w:tc>
          <w:tcPr>
            <w:tcW w:w="825"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单位</w:t>
            </w:r>
            <w:r/>
          </w:p>
        </w:tc>
        <w:tc>
          <w:tcPr>
            <w:tcW w:w="900"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数量</w:t>
            </w:r>
            <w:r/>
          </w:p>
        </w:tc>
        <w:tc>
          <w:tcPr>
            <w:tcW w:w="1035"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单价（元）</w:t>
            </w:r>
            <w:r/>
          </w:p>
        </w:tc>
        <w:tc>
          <w:tcPr>
            <w:tcW w:w="1005"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合计（元）</w:t>
            </w:r>
            <w:r/>
          </w:p>
        </w:tc>
        <w:tc>
          <w:tcPr>
            <w:tcW w:w="843" w:type="dxa"/>
            <w:vAlign w:val="center"/>
            <w:textDirection w:val="lrTb"/>
            <w:noWrap w:val="false"/>
          </w:tcPr>
          <w:p>
            <w:pPr>
              <w:jc w:val="center"/>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备注</w:t>
            </w:r>
            <w:r/>
          </w:p>
        </w:tc>
      </w:tr>
      <w:tr>
        <w:trPr>
          <w:jc w:val="center"/>
          <w:trHeight w:val="660"/>
        </w:trPr>
        <w:tc>
          <w:tcPr>
            <w:shd w:val="clear" w:color="auto" w:fill="ffffff"/>
            <w:tcBorders>
              <w:top w:val="single" w:color="000000" w:sz="8" w:space="0"/>
              <w:left w:val="single" w:color="000000" w:sz="8" w:space="0"/>
              <w:right w:val="single" w:color="000000" w:sz="4" w:space="0"/>
            </w:tcBorders>
            <w:tcW w:w="481"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1</w:t>
            </w:r>
            <w:r/>
          </w:p>
        </w:tc>
        <w:tc>
          <w:tcPr>
            <w:shd w:val="clear" w:color="auto" w:fill="ffffff"/>
            <w:tcBorders>
              <w:top w:val="single" w:color="000000" w:sz="8" w:space="0"/>
              <w:left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cs="Arial"/>
                <w:b w:val="0"/>
                <w:bCs w:val="0"/>
                <w:color w:val="000000"/>
                <w:sz w:val="24"/>
                <w:highlight w:val="none"/>
                <w:lang w:val="en-US" w:eastAsia="zh-CN"/>
              </w:rPr>
              <w:t xml:space="preserve">*</w:t>
            </w:r>
            <w:r>
              <w:rPr>
                <w:rFonts w:hint="eastAsia" w:ascii="宋体" w:hAnsi="宋体" w:eastAsia="宋体" w:cs="宋体"/>
                <w:b w:val="0"/>
                <w:bCs w:val="0"/>
                <w:i w:val="0"/>
                <w:iCs w:val="0"/>
                <w:color w:val="000000"/>
                <w:sz w:val="24"/>
                <w:szCs w:val="24"/>
                <w:highlight w:val="none"/>
                <w:u w:val="none"/>
                <w:lang w:eastAsia="zh-CN"/>
              </w:rPr>
              <w:t xml:space="preserve">升降式建筑垃圾收集箱</w:t>
            </w:r>
            <w:r/>
          </w:p>
        </w:tc>
        <w:tc>
          <w:tcPr>
            <w:shd w:val="clear" w:color="auto" w:fill="ffffff"/>
            <w:tcBorders>
              <w:top w:val="single" w:color="000000" w:sz="8" w:space="0"/>
              <w:left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color w:val="000000"/>
                <w:sz w:val="24"/>
                <w:szCs w:val="24"/>
                <w:highlight w:val="none"/>
                <w:lang w:val="en-US" w:eastAsia="zh-CN"/>
              </w:rPr>
              <w:t xml:space="preserve">详见</w:t>
            </w:r>
            <w:r>
              <w:rPr>
                <w:rFonts w:ascii="宋体" w:hAnsi="宋体" w:eastAsia="宋体" w:cs="宋体"/>
                <w:b w:val="0"/>
                <w:bCs w:val="0"/>
                <w:color w:val="000000"/>
                <w:sz w:val="24"/>
                <w:szCs w:val="24"/>
                <w:highlight w:val="none"/>
                <w:lang w:val="en-US" w:eastAsia="zh-CN"/>
              </w:rPr>
              <w:t xml:space="preserve">技术要求及相关说明</w:t>
            </w:r>
            <w:r/>
          </w:p>
        </w:tc>
        <w:tc>
          <w:tcPr>
            <w:shd w:val="clear" w:color="auto" w:fill="ffffff"/>
            <w:tcBorders>
              <w:top w:val="single" w:color="000000" w:sz="8" w:space="0"/>
              <w:left w:val="single" w:color="000000" w:sz="4" w:space="0"/>
              <w:right w:val="single" w:color="000000" w:sz="4" w:space="0"/>
            </w:tcBorders>
            <w:tcW w:w="1218"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ffffff"/>
            <w:tcBorders>
              <w:top w:val="single" w:color="000000" w:sz="8" w:space="0"/>
              <w:left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套</w:t>
            </w:r>
            <w:r/>
          </w:p>
        </w:tc>
        <w:tc>
          <w:tcPr>
            <w:shd w:val="clear" w:color="auto" w:fill="ffffff"/>
            <w:tcBorders>
              <w:top w:val="single" w:color="000000" w:sz="8" w:space="0"/>
              <w:left w:val="single" w:color="000000" w:sz="4" w:space="0"/>
              <w:right w:val="single" w:color="000000" w:sz="4" w:space="0"/>
            </w:tcBorders>
            <w:tcW w:w="90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3</w:t>
            </w:r>
            <w:r/>
          </w:p>
        </w:tc>
        <w:tc>
          <w:tcPr>
            <w:shd w:val="clear" w:color="auto" w:fill="ffffff"/>
            <w:tcBorders>
              <w:top w:val="single" w:color="000000" w:sz="8" w:space="0"/>
              <w:left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jc w:val="center"/>
          <w:trHeight w:val="660"/>
        </w:trPr>
        <w:tc>
          <w:tcPr>
            <w:shd w:val="clear" w:color="auto" w:fill="ffffff"/>
            <w:tcBorders>
              <w:top w:val="single" w:color="000000" w:sz="8" w:space="0"/>
              <w:left w:val="single" w:color="000000" w:sz="8" w:space="0"/>
              <w:right w:val="single" w:color="000000" w:sz="4" w:space="0"/>
            </w:tcBorders>
            <w:tcW w:w="481"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2</w:t>
            </w:r>
            <w:r/>
          </w:p>
        </w:tc>
        <w:tc>
          <w:tcPr>
            <w:shd w:val="clear" w:color="auto" w:fill="ffffff"/>
            <w:tcBorders>
              <w:top w:val="single" w:color="000000" w:sz="8" w:space="0"/>
              <w:left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cs="宋体"/>
                <w:b w:val="0"/>
                <w:bCs w:val="0"/>
                <w:sz w:val="24"/>
                <w:highlight w:val="none"/>
                <w:lang w:eastAsia="zh-CN"/>
              </w:rPr>
              <w:t xml:space="preserve">钩臂式建筑垃圾收集箱</w:t>
            </w:r>
            <w:r/>
          </w:p>
        </w:tc>
        <w:tc>
          <w:tcPr>
            <w:shd w:val="clear" w:color="auto" w:fill="ffffff"/>
            <w:tcBorders>
              <w:top w:val="single" w:color="000000" w:sz="8" w:space="0"/>
              <w:left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color w:val="000000"/>
                <w:sz w:val="24"/>
                <w:szCs w:val="24"/>
                <w:highlight w:val="none"/>
                <w:lang w:val="en-US" w:eastAsia="zh-CN"/>
              </w:rPr>
              <w:t xml:space="preserve">详见</w:t>
            </w:r>
            <w:r>
              <w:rPr>
                <w:rFonts w:ascii="宋体" w:hAnsi="宋体" w:eastAsia="宋体" w:cs="宋体"/>
                <w:b w:val="0"/>
                <w:bCs w:val="0"/>
                <w:color w:val="000000"/>
                <w:sz w:val="24"/>
                <w:szCs w:val="24"/>
                <w:highlight w:val="none"/>
                <w:lang w:val="en-US" w:eastAsia="zh-CN"/>
              </w:rPr>
              <w:t xml:space="preserve">技术要求及相关说明</w:t>
            </w:r>
            <w:r/>
          </w:p>
        </w:tc>
        <w:tc>
          <w:tcPr>
            <w:shd w:val="clear" w:color="auto" w:fill="ffffff"/>
            <w:tcBorders>
              <w:top w:val="single" w:color="000000" w:sz="8" w:space="0"/>
              <w:left w:val="single" w:color="000000" w:sz="4" w:space="0"/>
              <w:right w:val="single" w:color="000000" w:sz="4" w:space="0"/>
            </w:tcBorders>
            <w:tcW w:w="1218"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ffffff"/>
            <w:tcBorders>
              <w:top w:val="single" w:color="000000" w:sz="8" w:space="0"/>
              <w:left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cs="宋体"/>
                <w:b w:val="0"/>
                <w:bCs w:val="0"/>
                <w:i w:val="0"/>
                <w:iCs w:val="0"/>
                <w:color w:val="000000"/>
                <w:sz w:val="24"/>
                <w:szCs w:val="24"/>
                <w:highlight w:val="none"/>
                <w:u w:val="none"/>
                <w:lang w:val="en-US" w:eastAsia="zh-CN"/>
              </w:rPr>
              <w:t xml:space="preserve">套</w:t>
            </w:r>
            <w:r/>
          </w:p>
        </w:tc>
        <w:tc>
          <w:tcPr>
            <w:shd w:val="clear" w:color="auto" w:fill="ffffff"/>
            <w:tcBorders>
              <w:top w:val="single" w:color="000000" w:sz="8" w:space="0"/>
              <w:left w:val="single" w:color="000000" w:sz="4" w:space="0"/>
              <w:right w:val="single" w:color="000000" w:sz="4" w:space="0"/>
            </w:tcBorders>
            <w:tcW w:w="90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cs="宋体"/>
                <w:b w:val="0"/>
                <w:bCs w:val="0"/>
                <w:i w:val="0"/>
                <w:iCs w:val="0"/>
                <w:color w:val="000000"/>
                <w:sz w:val="24"/>
                <w:szCs w:val="24"/>
                <w:highlight w:val="none"/>
                <w:u w:val="none"/>
                <w:lang w:val="en-US" w:eastAsia="zh-CN"/>
              </w:rPr>
              <w:t xml:space="preserve">3</w:t>
            </w:r>
            <w:r/>
          </w:p>
        </w:tc>
        <w:tc>
          <w:tcPr>
            <w:shd w:val="clear" w:color="auto" w:fill="ffffff"/>
            <w:tcBorders>
              <w:top w:val="single" w:color="000000" w:sz="8" w:space="0"/>
              <w:left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jc w:val="center"/>
          <w:trHeight w:val="660"/>
        </w:trPr>
        <w:tc>
          <w:tcPr>
            <w:shd w:val="clear" w:color="auto" w:fill="ffffff"/>
            <w:tcBorders>
              <w:top w:val="single" w:color="000000" w:sz="8" w:space="0"/>
              <w:left w:val="single" w:color="000000" w:sz="8" w:space="0"/>
              <w:right w:val="single" w:color="000000" w:sz="4" w:space="0"/>
            </w:tcBorders>
            <w:tcW w:w="481"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3</w:t>
            </w:r>
            <w:r/>
          </w:p>
        </w:tc>
        <w:tc>
          <w:tcPr>
            <w:shd w:val="clear" w:color="auto" w:fill="ffffff"/>
            <w:tcBorders>
              <w:top w:val="single" w:color="000000" w:sz="8" w:space="0"/>
              <w:left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eastAsia="zh-CN"/>
              </w:rPr>
            </w:pPr>
            <w:r>
              <w:rPr>
                <w:rFonts w:hint="eastAsia"/>
                <w:b w:val="0"/>
                <w:bCs w:val="0"/>
                <w:sz w:val="24"/>
                <w:szCs w:val="24"/>
                <w:highlight w:val="none"/>
                <w:lang w:val="en-US" w:eastAsia="zh-CN"/>
              </w:rPr>
              <w:t xml:space="preserve">降尘设备</w:t>
            </w:r>
            <w:r/>
          </w:p>
        </w:tc>
        <w:tc>
          <w:tcPr>
            <w:shd w:val="clear" w:color="auto" w:fill="ffffff"/>
            <w:tcBorders>
              <w:top w:val="single" w:color="000000" w:sz="8" w:space="0"/>
              <w:left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color w:val="000000"/>
                <w:sz w:val="24"/>
                <w:szCs w:val="24"/>
                <w:highlight w:val="none"/>
                <w:lang w:val="en-US" w:eastAsia="zh-CN"/>
              </w:rPr>
              <w:t xml:space="preserve">详见</w:t>
            </w:r>
            <w:r>
              <w:rPr>
                <w:rFonts w:ascii="宋体" w:hAnsi="宋体" w:eastAsia="宋体" w:cs="宋体"/>
                <w:b w:val="0"/>
                <w:bCs w:val="0"/>
                <w:color w:val="000000"/>
                <w:sz w:val="24"/>
                <w:szCs w:val="24"/>
                <w:highlight w:val="none"/>
                <w:lang w:val="en-US" w:eastAsia="zh-CN"/>
              </w:rPr>
              <w:t xml:space="preserve">技术要求及相关说明</w:t>
            </w:r>
            <w:r/>
          </w:p>
        </w:tc>
        <w:tc>
          <w:tcPr>
            <w:shd w:val="clear" w:color="auto" w:fill="ffffff"/>
            <w:tcBorders>
              <w:top w:val="single" w:color="000000" w:sz="8" w:space="0"/>
              <w:left w:val="single" w:color="000000" w:sz="4" w:space="0"/>
              <w:right w:val="single" w:color="000000" w:sz="4" w:space="0"/>
            </w:tcBorders>
            <w:tcW w:w="1218"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ffffff"/>
            <w:tcBorders>
              <w:top w:val="single" w:color="000000" w:sz="8" w:space="0"/>
              <w:left w:val="single" w:color="000000" w:sz="4" w:space="0"/>
              <w:right w:val="single" w:color="000000" w:sz="4" w:space="0"/>
            </w:tcBorders>
            <w:tcW w:w="825"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rPr>
            </w:pPr>
            <w:r>
              <w:rPr>
                <w:rFonts w:hint="eastAsia" w:ascii="宋体" w:hAnsi="宋体" w:cs="宋体"/>
                <w:b w:val="0"/>
                <w:bCs w:val="0"/>
                <w:i w:val="0"/>
                <w:iCs w:val="0"/>
                <w:color w:val="000000"/>
                <w:sz w:val="24"/>
                <w:szCs w:val="24"/>
                <w:highlight w:val="none"/>
                <w:u w:val="none"/>
                <w:lang w:val="en-US" w:eastAsia="zh-CN"/>
              </w:rPr>
              <w:t xml:space="preserve">套</w:t>
            </w:r>
            <w:r/>
          </w:p>
        </w:tc>
        <w:tc>
          <w:tcPr>
            <w:shd w:val="clear" w:color="auto" w:fill="ffffff"/>
            <w:tcBorders>
              <w:top w:val="single" w:color="000000" w:sz="8" w:space="0"/>
              <w:left w:val="single" w:color="000000" w:sz="4" w:space="0"/>
              <w:right w:val="single" w:color="000000" w:sz="4" w:space="0"/>
            </w:tcBorders>
            <w:tcW w:w="900" w:type="dxa"/>
            <w:vAlign w:val="center"/>
            <w:textDirection w:val="lrTb"/>
            <w:noWrap w:val="false"/>
          </w:tcPr>
          <w:p>
            <w:pPr>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3</w:t>
            </w:r>
            <w:r/>
          </w:p>
        </w:tc>
        <w:tc>
          <w:tcPr>
            <w:shd w:val="clear" w:color="auto" w:fill="ffffff"/>
            <w:tcBorders>
              <w:top w:val="single" w:color="000000" w:sz="8" w:space="0"/>
              <w:left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8" w:space="0"/>
              <w:left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设备维修</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1、设备维修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2、满足设备使用要求</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附属工程</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lef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rPr>
              <w:t xml:space="preserve">合计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376" w:type="dxa"/>
            <w:vAlign w:val="center"/>
            <w:textDirection w:val="lrTb"/>
            <w:noWrap w:val="false"/>
          </w:tcPr>
          <w:p>
            <w:pPr>
              <w:jc w:val="left"/>
              <w:widowControl/>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highlight w:val="none"/>
              </w:rPr>
              <w:t xml:space="preserve">（大写）</w:t>
            </w:r>
            <w:r>
              <w:rPr>
                <w:rFonts w:ascii="宋体" w:hAnsi="宋体" w:cs="宋体"/>
                <w:color w:val="000000"/>
                <w:sz w:val="24"/>
                <w:highlight w:val="non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p>
        </w:tc>
      </w:tr>
    </w:tbl>
    <w:p>
      <w:pPr>
        <w:numPr>
          <w:ilvl w:val="0"/>
          <w:numId w:val="0"/>
        </w:numPr>
        <w:ind w:firstLine="482"/>
        <w:keepLines w:val="0"/>
        <w:keepNext w:val="0"/>
        <w:pageBreakBefore w:val="0"/>
        <w:spacing w:line="440" w:lineRule="exact"/>
        <w:widowControl w:val="off"/>
        <w:tabs>
          <w:tab w:val="left" w:pos="900" w:leader="none"/>
        </w:tabs>
        <w:rPr>
          <w:rFonts w:hint="eastAsia" w:ascii="宋体" w:hAnsi="宋体" w:cs="Arial"/>
          <w:b/>
          <w:bCs w:val="0"/>
          <w:color w:val="000000"/>
          <w:sz w:val="24"/>
          <w:szCs w:val="20"/>
          <w:highlight w:val="none"/>
          <w:lang w:val="en-US" w:eastAsia="zh-CN" w:bidi="ar-SA"/>
        </w:rPr>
      </w:pPr>
      <w:r>
        <w:rPr>
          <w:rFonts w:hint="eastAsia" w:ascii="宋体" w:hAnsi="宋体" w:cs="Arial"/>
          <w:b/>
          <w:bCs w:val="0"/>
          <w:color w:val="000000"/>
          <w:sz w:val="24"/>
          <w:szCs w:val="20"/>
          <w:highlight w:val="none"/>
          <w:lang w:val="en-US" w:eastAsia="zh-CN" w:bidi="ar-SA"/>
        </w:rPr>
        <w:t xml:space="preserve">附属工程和设备维修详细报价清单（网盘提取）</w:t>
      </w:r>
      <w:r/>
    </w:p>
    <w:p>
      <w:pPr>
        <w:ind w:firstLine="455"/>
        <w:keepLines w:val="0"/>
        <w:keepNext w:val="0"/>
        <w:pageBreakBefore w:val="0"/>
        <w:spacing w:line="440" w:lineRule="exact"/>
        <w:widowControl w:val="off"/>
        <w:rPr>
          <w:rFonts w:hint="eastAsia" w:ascii="宋体" w:hAnsi="宋体" w:cs="Arial"/>
          <w:b/>
          <w:bCs w:val="0"/>
          <w:color w:val="000000"/>
          <w:sz w:val="24"/>
          <w:szCs w:val="20"/>
          <w:highlight w:val="none"/>
          <w:lang w:val="en-US" w:eastAsia="zh-CN" w:bidi="ar-SA"/>
        </w:rPr>
      </w:pPr>
      <w:r>
        <w:rPr>
          <w:rFonts w:hint="eastAsia" w:ascii="宋体" w:hAnsi="宋体" w:cs="Arial"/>
          <w:b/>
          <w:bCs w:val="0"/>
          <w:color w:val="000000"/>
          <w:sz w:val="24"/>
          <w:szCs w:val="20"/>
          <w:highlight w:val="none"/>
          <w:lang w:val="en-US" w:eastAsia="zh-CN" w:bidi="ar-SA"/>
        </w:rPr>
        <w:t xml:space="preserve">链接：https://www.yunpan.com/surl_yIu5WqfG92c （提取码：424b），详细的报价清单请投标时放入投标文件内。</w:t>
      </w:r>
      <w:r/>
    </w:p>
    <w:p>
      <w:pPr>
        <w:ind w:firstLine="455"/>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b/>
          <w:bCs/>
          <w:color w:val="000000"/>
          <w:spacing w:val="-2"/>
          <w:sz w:val="24"/>
          <w:highlight w:val="none"/>
        </w:rPr>
        <w:t xml:space="preserve">注：</w:t>
      </w:r>
      <w:r>
        <w:rPr>
          <w:rFonts w:hint="eastAsia" w:ascii="宋体" w:hAnsi="宋体" w:cs="宋体"/>
          <w:b w:val="0"/>
          <w:bCs w:val="0"/>
          <w:color w:val="000000"/>
          <w:spacing w:val="-2"/>
          <w:sz w:val="24"/>
          <w:highlight w:val="none"/>
          <w:lang w:val="en-US" w:eastAsia="zh-CN"/>
        </w:rPr>
        <w:t xml:space="preserve">1、</w:t>
      </w:r>
      <w:r>
        <w:rPr>
          <w:rFonts w:hint="eastAsia"/>
          <w:color w:val="000000"/>
          <w:sz w:val="24"/>
          <w:highlight w:val="none"/>
        </w:rPr>
        <w:t xml:space="preserve">投标报价是</w:t>
      </w:r>
      <w:r>
        <w:rPr>
          <w:rFonts w:hint="eastAsia" w:ascii="宋体" w:hAnsi="宋体" w:cs="宋体"/>
          <w:color w:val="000000"/>
          <w:spacing w:val="-2"/>
          <w:sz w:val="24"/>
          <w:highlight w:val="none"/>
        </w:rPr>
        <w:t xml:space="preserve">所有</w:t>
      </w:r>
      <w:r>
        <w:rPr>
          <w:rFonts w:hint="eastAsia" w:ascii="宋体" w:hAnsi="宋体" w:cs="宋体"/>
          <w:color w:val="000000"/>
          <w:spacing w:val="-2"/>
          <w:sz w:val="24"/>
          <w:highlight w:val="none"/>
          <w:lang w:eastAsia="zh-CN"/>
        </w:rPr>
        <w:t xml:space="preserve">货物</w:t>
      </w:r>
      <w:r>
        <w:rPr>
          <w:rFonts w:hint="eastAsia" w:ascii="宋体" w:hAnsi="宋体" w:cs="宋体"/>
          <w:color w:val="000000"/>
          <w:spacing w:val="-2"/>
          <w:sz w:val="24"/>
          <w:highlight w:val="none"/>
        </w:rPr>
        <w:t xml:space="preserve">运至甲方指定地点所发生的一切费用的综合报价</w:t>
      </w:r>
      <w:r>
        <w:rPr>
          <w:rFonts w:hint="eastAsia" w:ascii="宋体" w:hAnsi="宋体" w:cs="宋体"/>
          <w:color w:val="000000"/>
          <w:spacing w:val="-2"/>
          <w:sz w:val="24"/>
          <w:highlight w:val="none"/>
          <w:lang w:eastAsia="zh-CN"/>
        </w:rPr>
        <w:t xml:space="preserve">，</w:t>
      </w:r>
      <w:r>
        <w:rPr>
          <w:rFonts w:hint="eastAsia" w:ascii="宋体" w:hAnsi="宋体" w:cs="宋体"/>
          <w:color w:val="000000"/>
          <w:spacing w:val="-2"/>
          <w:sz w:val="24"/>
          <w:highlight w:val="none"/>
          <w:lang w:val="en-US" w:eastAsia="zh-CN"/>
        </w:rPr>
        <w:t xml:space="preserve">包括但不限于</w:t>
      </w:r>
      <w:r>
        <w:rPr>
          <w:rFonts w:hint="eastAsia" w:ascii="宋体" w:hAnsi="宋体" w:cs="宋体"/>
          <w:color w:val="000000"/>
          <w:spacing w:val="-2"/>
          <w:sz w:val="24"/>
          <w:highlight w:val="none"/>
        </w:rPr>
        <w:t xml:space="preserve">正式有效税务发票、运输、税金、人力费、安装、调试、检验、验收、</w:t>
      </w:r>
      <w:r>
        <w:rPr>
          <w:rFonts w:hint="eastAsia" w:ascii="宋体" w:hAnsi="宋体" w:cs="宋体"/>
          <w:color w:val="000000"/>
          <w:spacing w:val="-2"/>
          <w:sz w:val="24"/>
          <w:highlight w:val="none"/>
          <w:lang w:eastAsia="zh-CN"/>
        </w:rPr>
        <w:t xml:space="preserve">售后维护</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备品备件、</w:t>
      </w:r>
      <w:r>
        <w:rPr>
          <w:rFonts w:hint="eastAsia" w:ascii="宋体" w:hAnsi="宋体" w:cs="宋体"/>
          <w:color w:val="000000"/>
          <w:spacing w:val="-2"/>
          <w:sz w:val="24"/>
          <w:highlight w:val="none"/>
        </w:rPr>
        <w:t xml:space="preserve">培训</w:t>
      </w:r>
      <w:r>
        <w:rPr>
          <w:rFonts w:hint="eastAsia" w:ascii="宋体" w:hAnsi="宋体"/>
          <w:color w:val="000000"/>
          <w:sz w:val="24"/>
          <w:highlight w:val="none"/>
        </w:rPr>
        <w:t xml:space="preserve">等交付使用前一切费用</w:t>
      </w:r>
      <w:r>
        <w:rPr>
          <w:rFonts w:hint="eastAsia" w:ascii="宋体" w:hAnsi="宋体"/>
          <w:bCs/>
          <w:color w:val="000000"/>
          <w:sz w:val="24"/>
          <w:highlight w:val="none"/>
        </w:rPr>
        <w:t xml:space="preserve">、</w:t>
      </w:r>
      <w:r>
        <w:rPr>
          <w:rFonts w:hint="eastAsia" w:ascii="宋体" w:hAnsi="宋体" w:cs="宋体"/>
          <w:color w:val="000000"/>
          <w:spacing w:val="-2"/>
          <w:sz w:val="24"/>
          <w:highlight w:val="none"/>
        </w:rPr>
        <w:t xml:space="preserve">招标代理费、不可预见费及其它相关费用等，对投标人认为没有考虑到的费用项目</w:t>
      </w:r>
      <w:r>
        <w:rPr>
          <w:rFonts w:hint="eastAsia" w:ascii="宋体" w:hAnsi="宋体" w:cs="宋体"/>
          <w:color w:val="000000"/>
          <w:spacing w:val="-2"/>
          <w:sz w:val="24"/>
          <w:highlight w:val="none"/>
          <w:lang w:eastAsia="zh-CN"/>
        </w:rPr>
        <w:t xml:space="preserve">采购单位</w:t>
      </w:r>
      <w:r>
        <w:rPr>
          <w:rFonts w:hint="eastAsia" w:ascii="宋体" w:hAnsi="宋体" w:cs="宋体"/>
          <w:color w:val="000000"/>
          <w:spacing w:val="-2"/>
          <w:sz w:val="24"/>
          <w:highlight w:val="none"/>
        </w:rPr>
        <w:t xml:space="preserve">将不予支付，并认为此项费用已包含在投标报价中</w:t>
      </w:r>
      <w:r>
        <w:rPr>
          <w:rFonts w:hint="eastAsia" w:ascii="宋体" w:hAnsi="宋体"/>
          <w:color w:val="000000"/>
          <w:sz w:val="24"/>
          <w:szCs w:val="20"/>
          <w:highlight w:val="none"/>
        </w:rPr>
        <w:t xml:space="preserve">。</w:t>
      </w:r>
      <w:r/>
    </w:p>
    <w:p>
      <w:pPr>
        <w:pStyle w:val="1054"/>
        <w:numPr>
          <w:ilvl w:val="0"/>
          <w:numId w:val="0"/>
        </w:numPr>
        <w:ind w:firstLine="480"/>
        <w:keepLines w:val="0"/>
        <w:keepNext w:val="0"/>
        <w:pageBreakBefore w:val="0"/>
        <w:spacing w:line="440" w:lineRule="exact"/>
        <w:widowControl w:val="off"/>
        <w:rPr>
          <w:rFonts w:hint="eastAsia"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 xml:space="preserve">2、</w:t>
      </w:r>
      <w:r>
        <w:rPr>
          <w:rFonts w:hint="eastAsia" w:ascii="宋体" w:hAnsi="宋体" w:cs="宋体"/>
          <w:color w:val="000000"/>
          <w:sz w:val="24"/>
          <w:highlight w:val="none"/>
          <w:lang w:val="en-US" w:eastAsia="zh-CN"/>
        </w:rPr>
        <w:t xml:space="preserve">本项目</w:t>
      </w:r>
      <w:r>
        <w:rPr>
          <w:rFonts w:hint="eastAsia" w:ascii="宋体" w:hAnsi="宋体" w:cs="宋体"/>
          <w:color w:val="000000"/>
          <w:sz w:val="24"/>
          <w:highlight w:val="none"/>
        </w:rPr>
        <w:t xml:space="preserve">预算为</w:t>
      </w:r>
      <w:r>
        <w:rPr>
          <w:rFonts w:hint="eastAsia" w:ascii="宋体" w:hAnsi="宋体" w:cs="Times New Roman"/>
          <w:color w:val="000000"/>
          <w:sz w:val="24"/>
          <w:szCs w:val="20"/>
          <w:highlight w:val="none"/>
          <w:lang w:val="en-US" w:eastAsia="zh-CN" w:bidi="ar-SA"/>
        </w:rPr>
        <w:t xml:space="preserve">228.9万元</w:t>
      </w:r>
      <w:r>
        <w:rPr>
          <w:rFonts w:hint="eastAsia" w:ascii="宋体" w:hAnsi="宋体" w:eastAsia="宋体" w:cs="Times New Roman"/>
          <w:color w:val="000000"/>
          <w:sz w:val="24"/>
          <w:szCs w:val="20"/>
          <w:highlight w:val="none"/>
          <w:lang w:val="en-US" w:eastAsia="zh-CN" w:bidi="ar-SA"/>
        </w:rPr>
        <w:t xml:space="preserve">。</w:t>
      </w:r>
      <w:r/>
    </w:p>
    <w:p>
      <w:pPr>
        <w:pStyle w:val="1054"/>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lang w:eastAsia="zh-CN"/>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Times New Roman"/>
          <w:color w:val="000000"/>
          <w:sz w:val="24"/>
          <w:szCs w:val="20"/>
          <w:highlight w:val="none"/>
          <w:lang w:val="en-US" w:eastAsia="zh-CN" w:bidi="ar-SA"/>
        </w:rPr>
        <w:t xml:space="preserve">最高限价</w:t>
      </w:r>
      <w:r>
        <w:rPr>
          <w:rFonts w:hint="eastAsia" w:ascii="宋体" w:hAnsi="宋体" w:cs="Times New Roman"/>
          <w:color w:val="000000"/>
          <w:sz w:val="24"/>
          <w:szCs w:val="20"/>
          <w:highlight w:val="none"/>
          <w:lang w:val="en-US" w:eastAsia="zh-CN" w:bidi="ar-SA"/>
        </w:rPr>
        <w:t xml:space="preserve">为228.9万元</w:t>
      </w:r>
      <w:r>
        <w:rPr>
          <w:rFonts w:hint="eastAsia" w:ascii="宋体" w:hAnsi="宋体" w:eastAsia="宋体" w:cs="Times New Roman"/>
          <w:color w:val="000000"/>
          <w:sz w:val="24"/>
          <w:szCs w:val="20"/>
          <w:highlight w:val="none"/>
          <w:lang w:val="en-US" w:eastAsia="zh-CN" w:bidi="ar-SA"/>
        </w:rPr>
        <w:t xml:space="preserve">，投标报价高于该限价的作无效标处理；</w:t>
      </w:r>
      <w:r/>
    </w:p>
    <w:p>
      <w:pPr>
        <w:ind w:firstLine="472"/>
        <w:keepLines w:val="0"/>
        <w:keepNext w:val="0"/>
        <w:pageBreakBefore w:val="0"/>
        <w:spacing w:line="440" w:lineRule="exact"/>
        <w:widowControl w:val="off"/>
        <w:rPr>
          <w:rFonts w:hint="eastAsia" w:ascii="宋体" w:hAnsi="宋体" w:cs="宋体"/>
          <w:color w:val="000000"/>
          <w:spacing w:val="-2"/>
          <w:sz w:val="24"/>
          <w:highlight w:val="none"/>
        </w:rPr>
        <w:outlineLvl w:val="9"/>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p>
    <w:p>
      <w:pPr>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p>
    <w:p>
      <w:pPr>
        <w:keepLines w:val="0"/>
        <w:keepNext w:val="0"/>
        <w:pageBreakBefore w:val="0"/>
        <w:spacing w:line="480" w:lineRule="exact"/>
        <w:tabs>
          <w:tab w:val="left" w:pos="1680" w:leader="none"/>
          <w:tab w:val="left" w:pos="3120" w:leader="none"/>
          <w:tab w:val="left" w:pos="3360" w:leader="none"/>
          <w:tab w:val="left" w:pos="3969" w:leader="none"/>
        </w:tabs>
        <w:rPr>
          <w:rFonts w:hint="eastAsia"/>
          <w:color w:val="000000"/>
          <w:sz w:val="24"/>
          <w:highlight w:val="none"/>
        </w:rPr>
        <w:outlineLvl w:val="9"/>
      </w:pPr>
      <w:r>
        <w:rPr>
          <w:rFonts w:hint="eastAsia"/>
          <w:color w:val="000000"/>
          <w:sz w:val="24"/>
          <w:highlight w:val="none"/>
        </w:rPr>
      </w:r>
      <w:r/>
    </w:p>
    <w:p>
      <w:pPr>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u w:val="none"/>
          <w:lang w:val="en-US" w:eastAsia="zh-CN"/>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              </w:t>
      </w:r>
      <w:r/>
    </w:p>
    <w:p>
      <w:pPr>
        <w:ind w:firstLine="5520"/>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eastAsia="宋体"/>
          <w:color w:val="000000"/>
          <w:sz w:val="24"/>
          <w:highlight w:val="none"/>
          <w:u w:val="none"/>
          <w:lang w:val="en-US" w:eastAsia="zh-CN"/>
        </w:rPr>
        <w:sectPr>
          <w:headerReference w:type="default" r:id="rId11"/>
          <w:footerReference w:type="default" r:id="rId17"/>
          <w:footnotePr/>
          <w:endnotePr/>
          <w:type w:val="nextPage"/>
          <w:pgSz w:w="11906" w:h="16838" w:orient="portrait"/>
          <w:pgMar w:top="1134" w:right="1276" w:bottom="1134" w:left="1276" w:header="0" w:footer="992" w:gutter="0"/>
          <w:cols w:num="1" w:sep="0" w:space="1701" w:equalWidth="1"/>
          <w:docGrid w:linePitch="360"/>
        </w:sectPr>
        <w:outlineLvl w:val="9"/>
      </w:pPr>
      <w:r>
        <w:rPr>
          <w:rFonts w:hint="eastAsia" w:ascii="宋体" w:hAnsi="宋体"/>
          <w:color w:val="000000"/>
          <w:sz w:val="24"/>
          <w:highlight w:val="none"/>
          <w:u w:val="none"/>
          <w:lang w:val="en-US" w:eastAsia="zh-CN"/>
        </w:rPr>
        <w:t xml:space="preserve">  </w:t>
      </w:r>
      <w:r>
        <w:rPr>
          <w:rFonts w:ascii="宋体" w:hAnsi="宋体"/>
          <w:color w:val="000000"/>
          <w:sz w:val="24"/>
          <w:highlight w:val="none"/>
          <w:u w:val="none"/>
        </w:rPr>
        <w:t xml:space="preserve">_</w:t>
      </w:r>
      <w:r>
        <w:rPr>
          <w:rFonts w:ascii="宋体" w:hAnsi="宋体"/>
          <w:color w:val="000000"/>
          <w:sz w:val="24"/>
          <w:highlight w:val="none"/>
        </w:rPr>
        <w:t xml:space="preserve">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none"/>
        </w:rPr>
        <w:t xml:space="preserve">日</w:t>
      </w:r>
      <w:r/>
    </w:p>
    <w:p>
      <w:pPr>
        <w:numPr>
          <w:ilvl w:val="0"/>
          <w:numId w:val="0"/>
        </w:numPr>
        <w:jc w:val="center"/>
        <w:rPr>
          <w:rFonts w:hint="eastAsia" w:ascii="宋体" w:hAnsi="Courier New" w:eastAsia="宋体" w:cs="Times New Roman"/>
          <w:b/>
          <w:color w:val="000000"/>
          <w:sz w:val="32"/>
          <w:szCs w:val="32"/>
          <w:highlight w:val="none"/>
          <w:lang w:eastAsia="zh-CN"/>
        </w:rPr>
      </w:pPr>
      <w:r>
        <w:rPr>
          <w:rFonts w:hint="eastAsia" w:ascii="宋体" w:hAnsi="Courier New" w:eastAsia="宋体" w:cs="Times New Roman"/>
          <w:b/>
          <w:color w:val="000000"/>
          <w:sz w:val="32"/>
          <w:szCs w:val="32"/>
          <w:highlight w:val="none"/>
          <w:lang w:val="en-US" w:eastAsia="zh-CN" w:bidi="ar-SA"/>
        </w:rPr>
        <w:t xml:space="preserve">（十三）</w:t>
      </w:r>
      <w:r>
        <w:rPr>
          <w:rFonts w:hint="eastAsia" w:ascii="宋体" w:hAnsi="Courier New" w:eastAsia="宋体" w:cs="Times New Roman"/>
          <w:b/>
          <w:color w:val="000000"/>
          <w:sz w:val="32"/>
          <w:szCs w:val="32"/>
          <w:highlight w:val="none"/>
        </w:rPr>
        <w:t xml:space="preserve">服务承诺函</w:t>
      </w:r>
      <w:r/>
    </w:p>
    <w:tbl>
      <w:tblPr>
        <w:tblStyle w:val="8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8291"/>
      </w:tblGrid>
      <w:tr>
        <w:trPr>
          <w:trHeight w:val="4810"/>
        </w:trPr>
        <w:tc>
          <w:tcPr>
            <w:tcW w:w="1671" w:type="dxa"/>
            <w:vAlign w:val="center"/>
            <w:textDirection w:val="lrTb"/>
            <w:noWrap w:val="false"/>
          </w:tcPr>
          <w:p>
            <w:pPr>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p>
        </w:tc>
        <w:tc>
          <w:tcPr>
            <w:tcW w:w="8291" w:type="dxa"/>
            <w:vAlign w:val="top"/>
            <w:textDirection w:val="lrTb"/>
            <w:noWrap w:val="false"/>
          </w:tcPr>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1.质保期为1年，</w:t>
            </w:r>
            <w:r>
              <w:rPr>
                <w:rFonts w:hint="eastAsia" w:ascii="宋体" w:hAnsi="宋体" w:eastAsia="宋体" w:cs="宋体"/>
                <w:color w:val="000000"/>
                <w:sz w:val="24"/>
                <w:szCs w:val="24"/>
                <w:highlight w:val="none"/>
              </w:rPr>
              <w:t xml:space="preserve">质量保证期从全部货物供结束（无质量问题）之日算起质保期内因产品质量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人为破坏除外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引起的所有损失均由供应商负责；</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在保修期及保修范围内（合同规定的全部货物），供应商应对任何因设计、工艺、材料、产品质量和部件造成的货物或部件损坏，实行维修全免费上门服务；</w:t>
            </w:r>
            <w:r>
              <w:rPr>
                <w:rFonts w:hint="eastAsia" w:ascii="宋体" w:hAnsi="宋体" w:eastAsia="宋体" w:cs="宋体"/>
                <w:color w:val="000000"/>
                <w:sz w:val="24"/>
                <w:highlight w:val="none"/>
              </w:rPr>
              <w:t xml:space="preserve">免费质保期间出现的问题，必须在2小时内响应，12个小时内到达现场，24小时内修复。</w:t>
            </w:r>
            <w:r>
              <w:rPr>
                <w:rFonts w:hint="eastAsia" w:ascii="宋体" w:hAnsi="宋体" w:eastAsia="宋体" w:cs="宋体"/>
                <w:bCs/>
                <w:color w:val="000000"/>
                <w:sz w:val="24"/>
                <w:highlight w:val="none"/>
              </w:rPr>
              <w:t xml:space="preserve">如乙方供应的产品因质量原因不能通过相关部门的验收，乙方无偿更换全部产品，不收取任何费用，并承担相应责任。</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供应商必须严格按照本次招标技术要求进行合理报价，如后期出现验收不合格情形视同虚假承诺谋取中标成交，将被列入不良行为记录名单；</w:t>
            </w:r>
            <w:r/>
          </w:p>
          <w:p>
            <w:pPr>
              <w:ind w:left="0" w:right="0"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供应商工作人员的人身安全一概由供应商负责，与招标方无关。因供应商人员在工作中造成了第三方的人或财产损害的，也一概由供应商自行承担；</w:t>
            </w:r>
            <w:r/>
          </w:p>
          <w:p>
            <w:pPr>
              <w:ind w:left="0" w:right="0" w:firstLine="480"/>
              <w:jc w:val="both"/>
              <w:keepLines w:val="0"/>
              <w:keepNext w:val="0"/>
              <w:pageBreakBefore w:val="0"/>
              <w:spacing w:line="460" w:lineRule="exact"/>
              <w:widowControl w:val="off"/>
              <w:rPr>
                <w:rFonts w:hint="eastAsia" w:ascii="宋体" w:hAnsi="宋体" w:eastAsia="宋体"/>
                <w:color w:val="000000"/>
                <w:sz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供应商自行承担运输、安装、调试过程中的安全责任。</w:t>
            </w:r>
            <w:r/>
          </w:p>
        </w:tc>
      </w:tr>
      <w:tr>
        <w:trPr>
          <w:trHeight w:val="2538"/>
        </w:trPr>
        <w:tc>
          <w:tcPr>
            <w:tcW w:w="1671" w:type="dxa"/>
            <w:vAlign w:val="center"/>
            <w:textDirection w:val="lrTb"/>
            <w:noWrap w:val="false"/>
          </w:tcPr>
          <w:p>
            <w:pPr>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p>
          <w:p>
            <w:pPr>
              <w:jc w:val="center"/>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内</w:t>
            </w:r>
            <w:r>
              <w:rPr>
                <w:rFonts w:hint="eastAsia" w:ascii="宋体" w:hAnsi="宋体"/>
                <w:color w:val="000000"/>
                <w:sz w:val="24"/>
                <w:highlight w:val="none"/>
                <w:lang w:val="en-US" w:eastAsia="zh-CN"/>
              </w:rPr>
              <w:t xml:space="preserve">      </w:t>
            </w:r>
            <w:r>
              <w:rPr>
                <w:rFonts w:hint="eastAsia" w:ascii="宋体" w:hAnsi="宋体"/>
                <w:color w:val="000000"/>
                <w:sz w:val="24"/>
                <w:highlight w:val="none"/>
                <w:lang w:eastAsia="zh-CN"/>
              </w:rPr>
              <w:t xml:space="preserve">容</w:t>
            </w:r>
            <w:r/>
          </w:p>
        </w:tc>
        <w:tc>
          <w:tcPr>
            <w:tcW w:w="8291" w:type="dxa"/>
            <w:vAlign w:val="top"/>
            <w:textDirection w:val="lrTb"/>
            <w:noWrap w:val="false"/>
          </w:tcPr>
          <w:p>
            <w:pP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1054"/>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pStyle w:val="1054"/>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pStyle w:val="1054"/>
              <w:rPr>
                <w:rFonts w:hint="eastAsia" w:ascii="宋体" w:hAnsi="宋体"/>
                <w:color w:val="000000"/>
                <w:sz w:val="24"/>
                <w:highlight w:val="none"/>
              </w:rPr>
            </w:pPr>
            <w:r>
              <w:rPr>
                <w:rFonts w:hint="eastAsia" w:ascii="宋体" w:hAnsi="宋体"/>
                <w:color w:val="000000"/>
                <w:sz w:val="24"/>
                <w:highlight w:val="none"/>
              </w:rPr>
            </w:r>
            <w:r/>
          </w:p>
          <w:p>
            <w:pPr>
              <w:rPr>
                <w:rFonts w:hint="eastAsia" w:ascii="宋体" w:hAnsi="宋体"/>
                <w:color w:val="000000"/>
                <w:sz w:val="24"/>
                <w:highlight w:val="none"/>
              </w:rPr>
            </w:pPr>
            <w:r>
              <w:rPr>
                <w:rFonts w:hint="eastAsia" w:ascii="宋体" w:hAnsi="宋体"/>
                <w:color w:val="000000"/>
                <w:sz w:val="24"/>
                <w:highlight w:val="none"/>
              </w:rPr>
            </w:r>
            <w:r/>
          </w:p>
          <w:p>
            <w:pPr>
              <w:pStyle w:val="1054"/>
              <w:rPr>
                <w:rFonts w:hint="eastAsia" w:ascii="宋体" w:hAnsi="宋体"/>
                <w:color w:val="000000"/>
                <w:sz w:val="24"/>
                <w:highlight w:val="none"/>
              </w:rPr>
            </w:pPr>
            <w:r>
              <w:rPr>
                <w:rFonts w:hint="eastAsia" w:ascii="宋体" w:hAnsi="宋体"/>
                <w:color w:val="000000"/>
                <w:sz w:val="24"/>
                <w:highlight w:val="none"/>
              </w:rPr>
            </w:r>
            <w:r/>
          </w:p>
          <w:p>
            <w:pPr>
              <w:rPr>
                <w:rFonts w:hint="eastAsia"/>
                <w:highlight w:val="none"/>
              </w:rPr>
            </w:pPr>
            <w:r>
              <w:rPr>
                <w:rFonts w:hint="eastAsia"/>
                <w:highlight w:val="none"/>
              </w:rPr>
            </w:r>
            <w:r/>
          </w:p>
        </w:tc>
      </w:tr>
    </w:tbl>
    <w:p>
      <w:pPr>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w:t>
      </w:r>
      <w:r>
        <w:rPr>
          <w:rFonts w:hint="eastAsia" w:ascii="宋体" w:hAnsi="宋体"/>
          <w:b/>
          <w:bCs/>
          <w:color w:val="000000"/>
          <w:spacing w:val="-2"/>
          <w:sz w:val="24"/>
          <w:highlight w:val="none"/>
          <w:lang w:val="en-US" w:eastAsia="zh-CN"/>
        </w:rPr>
        <w:t xml:space="preserve">根据上述“服务内容”在“承诺内容”</w:t>
      </w:r>
      <w:r>
        <w:rPr>
          <w:rFonts w:hint="eastAsia" w:ascii="宋体" w:hAnsi="宋体" w:eastAsia="宋体"/>
          <w:b/>
          <w:color w:val="000000"/>
          <w:sz w:val="24"/>
          <w:szCs w:val="20"/>
          <w:highlight w:val="none"/>
          <w:lang w:eastAsia="zh-CN"/>
        </w:rPr>
        <w:t xml:space="preserve">中</w:t>
      </w:r>
      <w:r>
        <w:rPr>
          <w:rFonts w:hint="eastAsia" w:ascii="宋体" w:hAnsi="宋体"/>
          <w:b/>
          <w:bCs/>
          <w:color w:val="000000"/>
          <w:spacing w:val="-2"/>
          <w:sz w:val="24"/>
          <w:highlight w:val="none"/>
        </w:rPr>
        <w:t xml:space="preserve">逐条</w:t>
      </w:r>
      <w:r>
        <w:rPr>
          <w:rFonts w:hint="eastAsia" w:ascii="宋体" w:hAnsi="宋体"/>
          <w:b/>
          <w:bCs/>
          <w:color w:val="000000"/>
          <w:spacing w:val="-2"/>
          <w:sz w:val="24"/>
          <w:highlight w:val="none"/>
          <w:lang w:val="en-US" w:eastAsia="zh-CN"/>
        </w:rPr>
        <w:t xml:space="preserve">进行</w:t>
      </w:r>
      <w:r>
        <w:rPr>
          <w:rFonts w:hint="eastAsia" w:ascii="宋体" w:hAnsi="宋体"/>
          <w:b/>
          <w:bCs/>
          <w:color w:val="000000"/>
          <w:spacing w:val="-2"/>
          <w:sz w:val="24"/>
          <w:highlight w:val="none"/>
        </w:rPr>
        <w:t xml:space="preserve">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p>
    <w:p>
      <w:pPr>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p>
    <w:p>
      <w:pPr>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w:t>
      </w:r>
      <w:r>
        <w:rPr>
          <w:rFonts w:hint="eastAsia" w:ascii="宋体" w:hAnsi="Courier New" w:eastAsia="宋体" w:cs="Times New Roman"/>
          <w:b/>
          <w:color w:val="000000"/>
          <w:sz w:val="32"/>
          <w:szCs w:val="32"/>
          <w:highlight w:val="none"/>
        </w:rPr>
        <w:t xml:space="preserve">技术参数响应表</w:t>
      </w:r>
      <w:r/>
    </w:p>
    <w:tbl>
      <w:tblPr>
        <w:tblStyle w:val="877"/>
        <w:tblW w:w="10033"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381"/>
        <w:gridCol w:w="2205"/>
        <w:gridCol w:w="2430"/>
        <w:gridCol w:w="2235"/>
      </w:tblGrid>
      <w:tr>
        <w:trPr>
          <w:trHeight w:val="153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招标文件技术要求</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投标技术指标（逐条对应招标文件技术要求）</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偏离情况</w:t>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bl>
    <w:p>
      <w:pPr>
        <w:ind w:firstLine="474"/>
        <w:spacing w:line="500" w:lineRule="exact"/>
        <w:rPr>
          <w:rFonts w:hint="eastAsia" w:ascii="宋体" w:hAnsi="宋体" w:cs="宋体"/>
          <w:b w:val="0"/>
          <w:bCs w:val="0"/>
          <w:color w:val="000000"/>
          <w:sz w:val="24"/>
          <w:highlight w:val="none"/>
        </w:rPr>
      </w:pPr>
      <w:r>
        <w:rPr>
          <w:rFonts w:hint="eastAsia" w:ascii="宋体" w:hAnsi="宋体" w:cs="宋体"/>
          <w:b/>
          <w:bCs w:val="0"/>
          <w:color w:val="000000"/>
          <w:spacing w:val="-2"/>
          <w:sz w:val="24"/>
          <w:highlight w:val="none"/>
        </w:rPr>
        <w:t xml:space="preserve">注：</w:t>
      </w: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投标人应根据投标设备的性能指标、对照招标文件</w:t>
      </w:r>
      <w:r>
        <w:rPr>
          <w:rFonts w:hint="eastAsia" w:ascii="宋体" w:hAnsi="宋体" w:cs="宋体"/>
          <w:b w:val="0"/>
          <w:bCs w:val="0"/>
          <w:color w:val="000000"/>
          <w:sz w:val="24"/>
          <w:highlight w:val="none"/>
          <w:lang w:eastAsia="zh-CN"/>
        </w:rPr>
        <w:t xml:space="preserve">“招标内容及要求”“</w:t>
      </w:r>
      <w:r>
        <w:rPr>
          <w:rFonts w:hint="eastAsia" w:ascii="宋体" w:hAnsi="宋体" w:cs="宋体"/>
          <w:b w:val="0"/>
          <w:bCs w:val="0"/>
          <w:color w:val="000000"/>
          <w:sz w:val="24"/>
          <w:highlight w:val="none"/>
          <w:lang w:val="en-US" w:eastAsia="zh-CN"/>
        </w:rPr>
        <w:t xml:space="preserve">三</w:t>
      </w:r>
      <w:r>
        <w:rPr>
          <w:rFonts w:hint="eastAsia" w:ascii="宋体" w:hAnsi="宋体" w:cs="宋体"/>
          <w:b w:val="0"/>
          <w:bCs w:val="0"/>
          <w:color w:val="000000"/>
          <w:sz w:val="24"/>
          <w:highlight w:val="none"/>
          <w:lang w:eastAsia="zh-CN"/>
        </w:rPr>
        <w:t xml:space="preserve">、技术要求及相关说明”</w:t>
      </w:r>
      <w:r>
        <w:rPr>
          <w:rFonts w:hint="eastAsia" w:ascii="宋体" w:hAnsi="宋体" w:cs="宋体"/>
          <w:b w:val="0"/>
          <w:bCs w:val="0"/>
          <w:color w:val="000000"/>
          <w:sz w:val="24"/>
          <w:highlight w:val="none"/>
        </w:rPr>
        <w:t xml:space="preserve">要求在“偏离情况”栏注明“正偏离”、“无偏离”或“负偏离”，投标人按照设备的性能指标填写投标产品技术参数，所有技术参数必须在此表体现，不接受其他形式的投标产品技术响应说明；未填写投标技术参数及达不到技术参数要求</w:t>
      </w:r>
      <w:r>
        <w:rPr>
          <w:rFonts w:hint="eastAsia" w:ascii="宋体" w:hAnsi="宋体" w:eastAsia="宋体" w:cs="宋体"/>
          <w:color w:val="000000"/>
          <w:sz w:val="24"/>
          <w:szCs w:val="24"/>
          <w:highlight w:val="none"/>
          <w:lang w:eastAsia="zh-CN"/>
        </w:rPr>
        <w:t xml:space="preserve">（需提供证明材料的以相关证明材料为准）</w:t>
      </w:r>
      <w:r>
        <w:rPr>
          <w:rFonts w:hint="eastAsia" w:ascii="宋体" w:hAnsi="宋体" w:cs="宋体"/>
          <w:b w:val="0"/>
          <w:bCs w:val="0"/>
          <w:color w:val="000000"/>
          <w:sz w:val="24"/>
          <w:highlight w:val="none"/>
        </w:rPr>
        <w:t xml:space="preserve">的按本项目评分标准中技术符合性的约定作相应处理。</w:t>
      </w:r>
      <w:r/>
    </w:p>
    <w:p>
      <w:pPr>
        <w:ind w:left="2" w:firstLine="475"/>
        <w:spacing w:line="520" w:lineRule="exact"/>
        <w:rPr>
          <w:rFonts w:ascii="宋体" w:hAnsi="宋体" w:eastAsia="宋体"/>
          <w:color w:val="000000"/>
          <w:sz w:val="24"/>
          <w:szCs w:val="20"/>
          <w:highlight w:val="none"/>
        </w:rPr>
      </w:pPr>
      <w:r>
        <w:rPr>
          <w:rFonts w:hint="eastAsia" w:ascii="宋体" w:hAnsi="宋体" w:eastAsia="宋体"/>
          <w:color w:val="000000"/>
          <w:sz w:val="24"/>
          <w:szCs w:val="20"/>
          <w:highlight w:val="none"/>
        </w:rPr>
        <w:t xml:space="preserve">2.投标人如在投标过程中提供虚假材料谋取中标成交的或采取不正当手段诋毁、排挤其他供应商的,将承担相应法律责任。</w:t>
      </w:r>
      <w:r/>
    </w:p>
    <w:p>
      <w:pPr>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0"/>
        <w:jc w:val="left"/>
        <w:spacing w:line="480" w:lineRule="exact"/>
        <w:widowControl/>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rPr>
        <w:t xml:space="preserve">： </w:t>
      </w:r>
      <w:r>
        <w:rPr>
          <w:rFonts w:hint="eastAsia" w:ascii="宋体" w:hAnsi="宋体" w:cs="宋体"/>
          <w:color w:val="000000"/>
          <w:sz w:val="24"/>
          <w:highlight w:val="none"/>
        </w:rPr>
        <w:t xml:space="preserve">（盖章或签字）</w:t>
      </w:r>
      <w:r/>
    </w:p>
    <w:p>
      <w:pPr>
        <w:ind w:firstLine="480"/>
        <w:spacing w:before="100" w:beforeAutospacing="1" w:after="100" w:afterAutospacing="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   （全称并加盖公章）</w:t>
      </w:r>
      <w:r/>
    </w:p>
    <w:p>
      <w:pPr>
        <w:ind w:firstLine="480"/>
        <w:jc w:val="right"/>
        <w:spacing w:before="100" w:beforeAutospacing="1" w:after="100" w:afterAutospacing="1" w:line="480" w:lineRule="exact"/>
        <w:rPr>
          <w:rFonts w:ascii="黑体" w:hAnsi="黑体" w:eastAsia="黑体" w:cs="黑体"/>
          <w:bCs/>
          <w:color w:val="000000"/>
          <w:highlight w:val="none"/>
        </w:rPr>
      </w:pPr>
      <w:r>
        <w:rPr>
          <w:rFonts w:hint="eastAsia" w:ascii="宋体" w:hAnsi="宋体" w:cs="宋体"/>
          <w:color w:val="000000"/>
          <w:sz w:val="24"/>
          <w:highlight w:val="none"/>
        </w:rPr>
        <w:t xml:space="preserve">                   年    月    日</w:t>
      </w:r>
      <w:r/>
    </w:p>
    <w:p>
      <w:pPr>
        <w:pStyle w:val="1073"/>
        <w:ind w:left="0" w:firstLine="0"/>
        <w:rPr>
          <w:b/>
          <w:bCs/>
          <w:color w:val="000000"/>
          <w:highlight w:val="none"/>
          <w:lang w:val="en-US" w:eastAsia="zh-CN"/>
        </w:rPr>
      </w:pPr>
      <w:r>
        <w:rPr>
          <w:b/>
          <w:bCs/>
          <w:color w:val="000000"/>
          <w:highlight w:val="none"/>
          <w:lang w:val="en-US" w:eastAsia="zh-CN"/>
        </w:rPr>
      </w:r>
      <w:r/>
    </w:p>
    <w:p>
      <w:pPr>
        <w:pStyle w:val="1068"/>
        <w:numPr>
          <w:ilvl w:val="0"/>
          <w:numId w:val="0"/>
        </w:numPr>
        <w:jc w:val="both"/>
        <w:rPr>
          <w:rFonts w:hint="eastAsia" w:ascii="宋体" w:hAnsi="宋体" w:cs="黑体"/>
          <w:b/>
          <w:bCs/>
          <w:color w:val="000000"/>
          <w:sz w:val="36"/>
          <w:szCs w:val="36"/>
          <w:highlight w:val="none"/>
          <w:lang w:val="zh-CN"/>
        </w:rPr>
      </w:pPr>
      <w:r>
        <w:rPr>
          <w:rFonts w:hint="eastAsia" w:ascii="宋体" w:hAnsi="宋体" w:cs="黑体"/>
          <w:b/>
          <w:bCs/>
          <w:color w:val="000000"/>
          <w:sz w:val="36"/>
          <w:szCs w:val="36"/>
          <w:highlight w:val="none"/>
          <w:lang w:val="zh-CN"/>
        </w:rPr>
      </w:r>
      <w:r/>
    </w:p>
    <w:p>
      <w:pPr>
        <w:ind w:left="1446" w:hanging="1285"/>
        <w:jc w:val="center"/>
        <w:spacing w:line="360" w:lineRule="auto"/>
        <w:rPr>
          <w:rFonts w:hint="eastAsia" w:ascii="宋体" w:hAnsi="宋体" w:cs="宋体"/>
          <w:b/>
          <w:color w:val="000000"/>
          <w:sz w:val="32"/>
          <w:szCs w:val="32"/>
          <w:highlight w:val="none"/>
          <w:lang w:val="zh-CN"/>
        </w:rPr>
        <w:outlineLvl w:val="1"/>
      </w:pPr>
      <w:r>
        <w:rPr>
          <w:rFonts w:hint="eastAsia" w:ascii="宋体" w:hAnsi="宋体" w:cs="宋体"/>
          <w:b/>
          <w:color w:val="000000"/>
          <w:sz w:val="32"/>
          <w:szCs w:val="32"/>
          <w:highlight w:val="none"/>
          <w:lang w:val="zh-CN"/>
        </w:rPr>
      </w:r>
      <w:r/>
    </w:p>
    <w:p>
      <w:pPr>
        <w:ind w:left="1446" w:hanging="1285"/>
        <w:jc w:val="center"/>
        <w:spacing w:line="360" w:lineRule="auto"/>
        <w:rPr>
          <w:rFonts w:hint="eastAsia" w:ascii="宋体" w:hAnsi="宋体" w:cs="黑体"/>
          <w:b/>
          <w:bCs/>
          <w:color w:val="000000"/>
          <w:sz w:val="32"/>
          <w:szCs w:val="32"/>
          <w:highlight w:val="none"/>
          <w:lang w:val="zh-CN"/>
        </w:rPr>
        <w:outlineLvl w:val="1"/>
      </w:pPr>
      <w:r>
        <w:rPr>
          <w:rFonts w:hint="eastAsia" w:ascii="宋体" w:hAnsi="宋体" w:cs="宋体"/>
          <w:b/>
          <w:color w:val="000000"/>
          <w:sz w:val="32"/>
          <w:szCs w:val="32"/>
          <w:highlight w:val="none"/>
          <w:lang w:val="zh-CN"/>
        </w:rPr>
        <w:t xml:space="preserve">（</w:t>
      </w:r>
      <w:r>
        <w:rPr>
          <w:rFonts w:hint="eastAsia" w:ascii="宋体" w:hAnsi="宋体" w:cs="宋体"/>
          <w:b/>
          <w:color w:val="000000"/>
          <w:sz w:val="32"/>
          <w:szCs w:val="32"/>
          <w:highlight w:val="none"/>
          <w:lang w:val="en-US" w:eastAsia="zh-CN"/>
        </w:rPr>
        <w:t xml:space="preserve">十五</w:t>
      </w:r>
      <w:r>
        <w:rPr>
          <w:rFonts w:hint="eastAsia" w:ascii="宋体" w:hAnsi="宋体" w:cs="宋体"/>
          <w:b/>
          <w:color w:val="000000"/>
          <w:sz w:val="32"/>
          <w:szCs w:val="32"/>
          <w:highlight w:val="none"/>
          <w:lang w:val="zh-CN"/>
        </w:rPr>
        <w:t xml:space="preserve">）</w:t>
      </w:r>
      <w:r>
        <w:rPr>
          <w:rFonts w:hint="eastAsia" w:ascii="宋体" w:hAnsi="宋体" w:cs="黑体"/>
          <w:b/>
          <w:bCs/>
          <w:color w:val="000000"/>
          <w:sz w:val="32"/>
          <w:szCs w:val="32"/>
          <w:highlight w:val="none"/>
          <w:lang w:val="zh-CN"/>
        </w:rPr>
        <w:t xml:space="preserve">备品备件明细表                                             </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2160"/>
        <w:gridCol w:w="1620"/>
        <w:gridCol w:w="1260"/>
        <w:gridCol w:w="1239"/>
        <w:gridCol w:w="2001"/>
      </w:tblGrid>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备品备件</w:t>
            </w:r>
            <w:r/>
          </w:p>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名称</w:t>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型号及规格</w:t>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数量</w:t>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单价</w:t>
            </w:r>
            <w:r/>
          </w:p>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（元）</w:t>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p>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（如是外购请注明产地、制造商）</w:t>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1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60"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239"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001" w:type="dxa"/>
            <w:vAlign w:val="center"/>
            <w:textDirection w:val="lrTb"/>
            <w:noWrap w:val="false"/>
          </w:tcPr>
          <w:p>
            <w:pPr>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bl>
    <w:p>
      <w:pPr>
        <w:jc w:val="center"/>
        <w:spacing w:before="320" w:after="160"/>
        <w:rPr>
          <w:rFonts w:ascii="宋体" w:hAnsi="宋体" w:cs="黑体"/>
          <w:b/>
          <w:bCs/>
          <w:color w:val="000000"/>
          <w:sz w:val="32"/>
          <w:szCs w:val="32"/>
          <w:highlight w:val="none"/>
          <w:lang w:val="zh-CN"/>
        </w:rPr>
      </w:pPr>
      <w:r>
        <w:rPr>
          <w:rFonts w:ascii="宋体" w:hAnsi="宋体" w:cs="黑体"/>
          <w:b/>
          <w:bCs/>
          <w:color w:val="000000"/>
          <w:sz w:val="32"/>
          <w:szCs w:val="32"/>
          <w:highlight w:val="none"/>
          <w:lang w:val="zh-CN"/>
        </w:rPr>
      </w:r>
      <w:r/>
    </w:p>
    <w:p>
      <w:pPr>
        <w:jc w:val="right"/>
        <w:spacing w:line="380" w:lineRule="exact"/>
        <w:tabs>
          <w:tab w:val="left" w:pos="1680" w:leader="none"/>
          <w:tab w:val="left" w:pos="3120" w:leader="none"/>
          <w:tab w:val="left" w:pos="3360" w:leader="none"/>
          <w:tab w:val="left" w:pos="4680" w:leader="none"/>
        </w:tabs>
        <w:rPr>
          <w:rFonts w:hint="eastAsia" w:ascii="宋体" w:hAnsi="宋体"/>
          <w:color w:val="000000"/>
          <w:sz w:val="24"/>
          <w:szCs w:val="24"/>
          <w:highlight w:val="none"/>
        </w:rPr>
      </w:pPr>
      <w:r>
        <w:rPr>
          <w:rFonts w:hint="eastAsia" w:ascii="宋体" w:hAnsi="宋体" w:cs="宋体"/>
          <w:color w:val="000000"/>
          <w:sz w:val="24"/>
          <w:highlight w:val="none"/>
          <w:lang w:val="zh-CN"/>
        </w:rPr>
        <w:t xml:space="preserve">                </w:t>
      </w:r>
      <w:r>
        <w:rPr>
          <w:rFonts w:hint="eastAsia" w:ascii="宋体" w:hAnsi="宋体"/>
          <w:color w:val="000000"/>
          <w:sz w:val="24"/>
          <w:szCs w:val="24"/>
          <w:highlight w:val="none"/>
        </w:rPr>
        <w:t xml:space="preserve">投标单位：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（盖章）</w:t>
      </w:r>
      <w:r/>
    </w:p>
    <w:p>
      <w:pPr>
        <w:spacing w:line="380" w:lineRule="exact"/>
        <w:tabs>
          <w:tab w:val="left" w:pos="1680" w:leader="none"/>
          <w:tab w:val="left" w:pos="3120" w:leader="none"/>
          <w:tab w:val="left" w:pos="3360" w:leader="none"/>
          <w:tab w:val="left" w:pos="3969"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jc w:val="right"/>
        <w:spacing w:line="380" w:lineRule="exact"/>
        <w:tabs>
          <w:tab w:val="left" w:pos="1680" w:leader="none"/>
          <w:tab w:val="left" w:pos="3120" w:leader="none"/>
          <w:tab w:val="left" w:pos="3360" w:leader="none"/>
          <w:tab w:val="left" w:pos="3969"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法定代表人（或委托代理人）：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（签字或盖章）</w:t>
      </w:r>
      <w:r/>
    </w:p>
    <w:p>
      <w:pPr>
        <w:jc w:val="right"/>
        <w:spacing w:line="380" w:lineRule="exact"/>
        <w:tabs>
          <w:tab w:val="left" w:pos="1680" w:leader="none"/>
          <w:tab w:val="left" w:pos="3120" w:leader="none"/>
          <w:tab w:val="left" w:pos="3360" w:leader="none"/>
          <w:tab w:val="left" w:pos="3969"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right"/>
        <w:spacing w:line="380" w:lineRule="exact"/>
        <w:rPr>
          <w:rFonts w:hint="eastAsia"/>
          <w:color w:val="000000"/>
          <w:sz w:val="24"/>
          <w:highlight w:val="none"/>
        </w:rPr>
      </w:pPr>
      <w:r>
        <w:rPr>
          <w:rFonts w:ascii="宋体" w:hAnsi="宋体"/>
          <w:color w:val="000000"/>
          <w:sz w:val="24"/>
          <w:szCs w:val="24"/>
          <w:highlight w:val="none"/>
        </w:rPr>
        <w:t xml:space="preserve">_________年</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jc w:val="left"/>
        <w:spacing w:line="480" w:lineRule="exact"/>
        <w:rPr>
          <w:rFonts w:hint="eastAsia"/>
          <w:color w:val="000000"/>
          <w:sz w:val="24"/>
          <w:highlight w:val="none"/>
        </w:rPr>
      </w:pPr>
      <w:r>
        <w:rPr>
          <w:rFonts w:hint="eastAsia"/>
          <w:color w:val="000000"/>
          <w:sz w:val="24"/>
          <w:highlight w:val="none"/>
        </w:rPr>
      </w:r>
      <w:r/>
    </w:p>
    <w:p>
      <w:pPr>
        <w:jc w:val="left"/>
        <w:spacing w:line="480" w:lineRule="exact"/>
        <w:rPr>
          <w:rFonts w:hint="eastAsia" w:ascii="宋体" w:hAnsi="Courier New"/>
          <w:b w:val="0"/>
          <w:bCs/>
          <w:color w:val="000000"/>
          <w:sz w:val="24"/>
          <w:szCs w:val="24"/>
          <w:highlight w:val="none"/>
          <w:lang w:eastAsia="zh-CN"/>
        </w:rPr>
      </w:pPr>
      <w:r>
        <w:rPr>
          <w:rFonts w:hint="eastAsia" w:ascii="宋体" w:hAnsi="Courier New"/>
          <w:b w:val="0"/>
          <w:bCs/>
          <w:color w:val="000000"/>
          <w:sz w:val="24"/>
          <w:szCs w:val="24"/>
          <w:highlight w:val="none"/>
          <w:lang w:eastAsia="zh-CN"/>
        </w:rPr>
      </w:r>
      <w:r/>
    </w:p>
    <w:p>
      <w:pPr>
        <w:ind w:left="1446" w:hanging="1446"/>
        <w:jc w:val="center"/>
        <w:spacing w:line="360" w:lineRule="auto"/>
        <w:rPr>
          <w:rFonts w:hint="eastAsia" w:ascii="宋体" w:hAnsi="宋体" w:cs="宋体"/>
          <w:b/>
          <w:color w:val="000000"/>
          <w:sz w:val="36"/>
          <w:szCs w:val="36"/>
          <w:highlight w:val="none"/>
          <w:lang w:val="zh-CN"/>
        </w:rPr>
        <w:outlineLvl w:val="1"/>
      </w:pPr>
      <w:r>
        <w:rPr>
          <w:rFonts w:hint="eastAsia" w:ascii="宋体" w:hAnsi="宋体" w:cs="宋体"/>
          <w:b/>
          <w:color w:val="000000"/>
          <w:sz w:val="36"/>
          <w:szCs w:val="36"/>
          <w:highlight w:val="none"/>
          <w:lang w:val="zh-CN"/>
        </w:rPr>
      </w:r>
      <w:r/>
    </w:p>
    <w:p>
      <w:pPr>
        <w:pStyle w:val="1068"/>
        <w:ind w:left="0" w:firstLine="0"/>
        <w:rPr>
          <w:b/>
          <w:bCs/>
          <w:color w:val="000000"/>
          <w:highlight w:val="none"/>
        </w:rPr>
      </w:pPr>
      <w:r>
        <w:rPr>
          <w:b/>
          <w:bCs/>
          <w:color w:val="000000"/>
          <w:highlight w:val="none"/>
        </w:rPr>
      </w:r>
      <w:r/>
    </w:p>
    <w:p>
      <w:pPr>
        <w:pStyle w:val="1068"/>
        <w:ind w:left="0" w:firstLine="0"/>
        <w:rPr>
          <w:b/>
          <w:bCs/>
          <w:color w:val="000000"/>
          <w:highlight w:val="none"/>
        </w:rPr>
      </w:pPr>
      <w:r>
        <w:rPr>
          <w:b/>
          <w:bCs/>
          <w:color w:val="000000"/>
          <w:highlight w:val="none"/>
        </w:rPr>
      </w:r>
      <w:r/>
    </w:p>
    <w:p>
      <w:pPr>
        <w:pStyle w:val="1068"/>
        <w:numPr>
          <w:ilvl w:val="0"/>
          <w:numId w:val="0"/>
        </w:numPr>
        <w:ind w:left="0" w:firstLine="0"/>
        <w:jc w:val="center"/>
        <w:rPr>
          <w:rFonts w:hint="eastAsia" w:ascii="宋体" w:hAnsi="宋体" w:cs="黑体"/>
          <w:b/>
          <w:bCs/>
          <w:color w:val="000000"/>
          <w:sz w:val="32"/>
          <w:szCs w:val="32"/>
          <w:highlight w:val="none"/>
          <w:lang w:val="zh-CN" w:eastAsia="zh-CN" w:bidi="ar-SA"/>
        </w:rPr>
      </w:pPr>
      <w:r>
        <w:rPr>
          <w:rFonts w:hint="eastAsia" w:ascii="宋体" w:hAnsi="宋体" w:cs="黑体"/>
          <w:b/>
          <w:bCs/>
          <w:color w:val="000000"/>
          <w:sz w:val="32"/>
          <w:szCs w:val="32"/>
          <w:highlight w:val="none"/>
          <w:lang w:val="zh-CN" w:eastAsia="zh-CN" w:bidi="ar-SA"/>
        </w:rPr>
      </w:r>
      <w:r/>
    </w:p>
    <w:p>
      <w:pPr>
        <w:pStyle w:val="1068"/>
        <w:numPr>
          <w:ilvl w:val="0"/>
          <w:numId w:val="0"/>
        </w:numPr>
        <w:ind w:left="0" w:firstLine="0"/>
        <w:jc w:val="center"/>
        <w:rPr>
          <w:rFonts w:hint="eastAsia" w:ascii="宋体" w:hAnsi="宋体" w:cs="黑体"/>
          <w:b/>
          <w:bCs/>
          <w:color w:val="000000"/>
          <w:sz w:val="32"/>
          <w:szCs w:val="32"/>
          <w:highlight w:val="none"/>
          <w:lang w:val="zh-CN"/>
        </w:rPr>
      </w:pPr>
      <w:r>
        <w:rPr>
          <w:rFonts w:hint="eastAsia" w:ascii="宋体" w:hAnsi="宋体" w:cs="黑体"/>
          <w:b/>
          <w:bCs/>
          <w:color w:val="000000"/>
          <w:sz w:val="32"/>
          <w:szCs w:val="32"/>
          <w:highlight w:val="none"/>
          <w:lang w:val="zh-CN" w:eastAsia="zh-CN" w:bidi="ar-SA"/>
        </w:rPr>
        <w:t xml:space="preserve">（十六）</w:t>
      </w:r>
      <w:r>
        <w:rPr>
          <w:rFonts w:hint="eastAsia" w:ascii="宋体" w:hAnsi="宋体" w:cs="黑体"/>
          <w:b/>
          <w:bCs/>
          <w:color w:val="000000"/>
          <w:sz w:val="32"/>
          <w:szCs w:val="32"/>
          <w:highlight w:val="none"/>
          <w:lang w:val="zh-CN"/>
        </w:rPr>
        <w:t xml:space="preserve">易损件明细表</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41"/>
        <w:gridCol w:w="2160"/>
        <w:gridCol w:w="1620"/>
        <w:gridCol w:w="1260"/>
        <w:gridCol w:w="1239"/>
        <w:gridCol w:w="2001"/>
      </w:tblGrid>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tcW w:w="2160" w:type="dxa"/>
            <w:vAlign w:val="center"/>
            <w:textDirection w:val="lrTb"/>
            <w:noWrap w:val="false"/>
          </w:tcPr>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易损件名称</w:t>
            </w:r>
            <w:r/>
          </w:p>
        </w:tc>
        <w:tc>
          <w:tcPr>
            <w:tcW w:w="1620" w:type="dxa"/>
            <w:vAlign w:val="center"/>
            <w:textDirection w:val="lrTb"/>
            <w:noWrap w:val="false"/>
          </w:tcPr>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型号及规格</w:t>
            </w:r>
            <w:r/>
          </w:p>
        </w:tc>
        <w:tc>
          <w:tcPr>
            <w:tcW w:w="1260" w:type="dxa"/>
            <w:vAlign w:val="center"/>
            <w:textDirection w:val="lrTb"/>
            <w:noWrap w:val="false"/>
          </w:tcPr>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数量</w:t>
            </w:r>
            <w:r/>
          </w:p>
        </w:tc>
        <w:tc>
          <w:tcPr>
            <w:tcW w:w="1239" w:type="dxa"/>
            <w:vAlign w:val="center"/>
            <w:textDirection w:val="lrTb"/>
            <w:noWrap w:val="false"/>
          </w:tcPr>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单价</w:t>
            </w:r>
            <w:r/>
          </w:p>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（元）</w:t>
            </w:r>
            <w:r/>
          </w:p>
        </w:tc>
        <w:tc>
          <w:tcPr>
            <w:tcW w:w="2001" w:type="dxa"/>
            <w:vAlign w:val="center"/>
            <w:textDirection w:val="lrTb"/>
            <w:noWrap w:val="false"/>
          </w:tcPr>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p>
          <w:p>
            <w:pPr>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（如是外购请注明产地、制造商）</w:t>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979"/>
        </w:trPr>
        <w:tc>
          <w:tcPr>
            <w:tcW w:w="74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1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62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60"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1239"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c>
          <w:tcPr>
            <w:tcW w:w="2001" w:type="dxa"/>
            <w:vAlign w:val="center"/>
            <w:textDirection w:val="lrTb"/>
            <w:noWrap w:val="false"/>
          </w:tcPr>
          <w:p>
            <w:pPr>
              <w:jc w:val="center"/>
              <w:rPr>
                <w:rFonts w:ascii="宋体" w:hAnsi="宋体" w:cs="宋体"/>
                <w:color w:val="000000"/>
                <w:sz w:val="24"/>
                <w:highlight w:val="none"/>
                <w:lang w:val="zh-CN"/>
              </w:rPr>
            </w:pPr>
            <w:r>
              <w:rPr>
                <w:rFonts w:ascii="宋体" w:hAnsi="宋体" w:cs="宋体"/>
                <w:color w:val="000000"/>
                <w:sz w:val="24"/>
                <w:highlight w:val="none"/>
                <w:lang w:val="zh-CN"/>
              </w:rPr>
            </w:r>
            <w:r/>
          </w:p>
        </w:tc>
      </w:tr>
    </w:tbl>
    <w:p>
      <w:pPr>
        <w:spacing w:line="480" w:lineRule="exact"/>
        <w:rPr>
          <w:rFonts w:ascii="宋体" w:hAnsi="宋体"/>
          <w:color w:val="000000"/>
          <w:sz w:val="24"/>
          <w:highlight w:val="none"/>
        </w:rPr>
      </w:pPr>
      <w:r>
        <w:rPr>
          <w:rFonts w:ascii="宋体" w:hAnsi="宋体"/>
          <w:color w:val="000000"/>
          <w:sz w:val="24"/>
          <w:highlight w:val="none"/>
        </w:rPr>
      </w:r>
      <w:r/>
    </w:p>
    <w:p>
      <w:pPr>
        <w:jc w:val="right"/>
        <w:spacing w:line="380" w:lineRule="exact"/>
        <w:tabs>
          <w:tab w:val="left" w:pos="1680" w:leader="none"/>
          <w:tab w:val="left" w:pos="3120" w:leader="none"/>
          <w:tab w:val="left" w:pos="3360" w:leader="none"/>
          <w:tab w:val="left" w:pos="4680" w:leader="none"/>
        </w:tabs>
        <w:rPr>
          <w:rFonts w:ascii="宋体" w:hAnsi="宋体"/>
          <w:color w:val="000000"/>
          <w:sz w:val="24"/>
          <w:szCs w:val="24"/>
          <w:highlight w:val="none"/>
        </w:rPr>
      </w:pPr>
      <w:r>
        <w:rPr>
          <w:rFonts w:ascii="宋体" w:hAnsi="宋体"/>
          <w:color w:val="000000"/>
          <w:sz w:val="24"/>
          <w:szCs w:val="24"/>
          <w:highlight w:val="none"/>
        </w:rPr>
      </w:r>
      <w:r/>
    </w:p>
    <w:p>
      <w:pPr>
        <w:jc w:val="right"/>
        <w:spacing w:line="380" w:lineRule="exact"/>
        <w:tabs>
          <w:tab w:val="left" w:pos="1680" w:leader="none"/>
          <w:tab w:val="left" w:pos="3120" w:leader="none"/>
          <w:tab w:val="left" w:pos="3360" w:leader="none"/>
          <w:tab w:val="left" w:pos="4680" w:leader="none"/>
        </w:tabs>
        <w:rPr>
          <w:rFonts w:ascii="宋体" w:hAnsi="宋体"/>
          <w:color w:val="000000"/>
          <w:sz w:val="24"/>
          <w:szCs w:val="24"/>
          <w:highlight w:val="none"/>
        </w:rPr>
      </w:pPr>
      <w:r>
        <w:rPr>
          <w:rFonts w:hint="eastAsia" w:ascii="宋体" w:hAnsi="宋体"/>
          <w:color w:val="000000"/>
          <w:sz w:val="24"/>
          <w:szCs w:val="24"/>
          <w:highlight w:val="none"/>
        </w:rPr>
        <w:t xml:space="preserve">投标单位：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（盖章）</w:t>
      </w:r>
      <w:r/>
    </w:p>
    <w:p>
      <w:pPr>
        <w:spacing w:line="380" w:lineRule="exact"/>
        <w:tabs>
          <w:tab w:val="left" w:pos="1680" w:leader="none"/>
          <w:tab w:val="left" w:pos="3120" w:leader="none"/>
          <w:tab w:val="left" w:pos="3360" w:leader="none"/>
          <w:tab w:val="left" w:pos="3969" w:leader="none"/>
        </w:tabs>
        <w:rPr>
          <w:rFonts w:ascii="宋体" w:hAnsi="宋体"/>
          <w:color w:val="000000"/>
          <w:sz w:val="24"/>
          <w:szCs w:val="24"/>
          <w:highlight w:val="none"/>
        </w:rPr>
      </w:pPr>
      <w:r>
        <w:rPr>
          <w:rFonts w:ascii="宋体" w:hAnsi="宋体"/>
          <w:color w:val="000000"/>
          <w:sz w:val="24"/>
          <w:szCs w:val="24"/>
          <w:highlight w:val="none"/>
        </w:rPr>
      </w:r>
      <w:r/>
    </w:p>
    <w:p>
      <w:pPr>
        <w:jc w:val="right"/>
        <w:spacing w:line="380" w:lineRule="exact"/>
        <w:tabs>
          <w:tab w:val="left" w:pos="1680" w:leader="none"/>
          <w:tab w:val="left" w:pos="3120" w:leader="none"/>
          <w:tab w:val="left" w:pos="3360" w:leader="none"/>
          <w:tab w:val="left" w:pos="3969" w:leader="none"/>
        </w:tabs>
        <w:rPr>
          <w:rFonts w:ascii="宋体" w:hAnsi="宋体"/>
          <w:color w:val="000000"/>
          <w:sz w:val="24"/>
          <w:szCs w:val="24"/>
          <w:highlight w:val="none"/>
        </w:rPr>
      </w:pPr>
      <w:r>
        <w:rPr>
          <w:rFonts w:hint="eastAsia" w:ascii="宋体" w:hAnsi="宋体"/>
          <w:color w:val="000000"/>
          <w:sz w:val="24"/>
          <w:szCs w:val="24"/>
          <w:highlight w:val="none"/>
        </w:rPr>
        <w:t xml:space="preserve">法定代表人（或委托代理人）：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（签字或盖章）</w:t>
      </w:r>
      <w:r/>
    </w:p>
    <w:p>
      <w:pPr>
        <w:jc w:val="right"/>
        <w:spacing w:line="380" w:lineRule="exact"/>
        <w:tabs>
          <w:tab w:val="left" w:pos="1680" w:leader="none"/>
          <w:tab w:val="left" w:pos="3120" w:leader="none"/>
          <w:tab w:val="left" w:pos="3360" w:leader="none"/>
          <w:tab w:val="left" w:pos="3969" w:leader="none"/>
        </w:tabs>
        <w:rPr>
          <w:rFonts w:ascii="宋体" w:hAnsi="宋体"/>
          <w:color w:val="000000"/>
          <w:sz w:val="24"/>
          <w:szCs w:val="24"/>
          <w:highlight w:val="none"/>
        </w:rPr>
      </w:pPr>
      <w:r>
        <w:rPr>
          <w:rFonts w:ascii="宋体" w:hAnsi="宋体"/>
          <w:color w:val="000000"/>
          <w:sz w:val="24"/>
          <w:szCs w:val="24"/>
          <w:highlight w:val="none"/>
        </w:rPr>
      </w:r>
      <w:r/>
    </w:p>
    <w:p>
      <w:pPr>
        <w:ind w:firstLine="480"/>
        <w:jc w:val="right"/>
        <w:spacing w:line="380" w:lineRule="exact"/>
        <w:rPr>
          <w:rFonts w:hint="eastAsia" w:ascii="宋体" w:hAnsi="Courier New"/>
          <w:b/>
          <w:color w:val="000000"/>
          <w:sz w:val="24"/>
          <w:szCs w:val="24"/>
          <w:highlight w:val="none"/>
        </w:rPr>
      </w:pPr>
      <w:r>
        <w:rPr>
          <w:rFonts w:ascii="宋体" w:hAnsi="宋体"/>
          <w:color w:val="000000"/>
          <w:sz w:val="24"/>
          <w:szCs w:val="24"/>
          <w:highlight w:val="none"/>
        </w:rPr>
        <w:t xml:space="preserve">_________年</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sectPr>
      <w:headerReference w:type="default" r:id="rId12"/>
      <w:footerReference w:type="default" r:id="rId18"/>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76"/>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63"/>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76"/>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63"/>
      <w:rPr>
        <w:rFonts w:eastAsia="宋体"/>
        <w:lang w:val="en-US" w:eastAsia="zh-CN"/>
      </w:rPr>
    </w:pPr>
    <w:r>
      <w:rPr>
        <w:rFonts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76"/>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p>
    <w:pPr>
      <w:pStyle w:val="1063"/>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63"/>
                            <w:tabs>
                              <w:tab w:val="clear" w:pos="4153" w:leader="none"/>
                              <w:tab w:val="clear" w:pos="8306" w:leader="none"/>
                            </w:tabs>
                          </w:pPr>
                          <w:r>
                            <w:fldChar w:fldCharType="begin"/>
                          </w:r>
                          <w:r>
                            <w:rPr>
                              <w:rStyle w:val="1076"/>
                            </w:rPr>
                            <w:instrText xml:space="preserve">Page</w:instrText>
                          </w:r>
                          <w:r>
                            <w:fldChar w:fldCharType="separate"/>
                          </w:r>
                          <w:r>
                            <w:rPr>
                              <w:rStyle w:val="1076"/>
                            </w:rP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rPr>
                        <w:rStyle w:val="1076"/>
                      </w:rPr>
                      <w:instrText xml:space="preserve">Page</w:instrText>
                    </w:r>
                    <w:r>
                      <w:fldChar w:fldCharType="separate"/>
                    </w:r>
                    <w:r>
                      <w:rPr>
                        <w:rStyle w:val="1076"/>
                      </w:rPr>
                      <w:t xml:space="preserve">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ind w:firstLine="420"/>
                            <w:tabs>
                              <w:tab w:val="clear" w:pos="180" w:leader="none"/>
                            </w:tabs>
                            <w:rPr>
                              <w:sz w:val="21"/>
                              <w:szCs w:val="21"/>
                            </w:rPr>
                          </w:pPr>
                          <w:r>
                            <w:rPr>
                              <w:sz w:val="21"/>
                              <w:szCs w:val="21"/>
                            </w:rPr>
                            <w:fldChar w:fldCharType="begin"/>
                          </w:r>
                          <w:r>
                            <w:rPr>
                              <w:rStyle w:val="1076"/>
                              <w:sz w:val="21"/>
                              <w:szCs w:val="21"/>
                            </w:rPr>
                            <w:instrText xml:space="preserve"> PAGE  </w:instrText>
                          </w:r>
                          <w:r>
                            <w:rPr>
                              <w:sz w:val="21"/>
                              <w:szCs w:val="21"/>
                            </w:rPr>
                            <w:fldChar w:fldCharType="separate"/>
                          </w:r>
                          <w:r>
                            <w:rPr>
                              <w:rStyle w:val="1076"/>
                              <w:sz w:val="21"/>
                              <w:szCs w:val="21"/>
                            </w:rPr>
                            <w:t xml:space="preserve">21</w:t>
                          </w:r>
                          <w:r>
                            <w:rPr>
                              <w:sz w:val="21"/>
                              <w:szCs w:val="21"/>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ind w:firstLine="420"/>
                      <w:tabs>
                        <w:tab w:val="clear" w:pos="180" w:leader="none"/>
                      </w:tabs>
                      <w:rPr>
                        <w:sz w:val="21"/>
                        <w:szCs w:val="21"/>
                      </w:rPr>
                    </w:pPr>
                    <w:r>
                      <w:rPr>
                        <w:sz w:val="21"/>
                        <w:szCs w:val="21"/>
                      </w:rPr>
                      <w:fldChar w:fldCharType="begin"/>
                    </w:r>
                    <w:r>
                      <w:rPr>
                        <w:rStyle w:val="1076"/>
                        <w:sz w:val="21"/>
                        <w:szCs w:val="21"/>
                      </w:rPr>
                      <w:instrText xml:space="preserve"> PAGE  </w:instrText>
                    </w:r>
                    <w:r>
                      <w:rPr>
                        <w:sz w:val="21"/>
                        <w:szCs w:val="21"/>
                      </w:rPr>
                      <w:fldChar w:fldCharType="separate"/>
                    </w:r>
                    <w:r>
                      <w:rPr>
                        <w:rStyle w:val="1076"/>
                        <w:sz w:val="21"/>
                        <w:szCs w:val="21"/>
                      </w:rPr>
                      <w:t xml:space="preserve">21</w:t>
                    </w:r>
                    <w:r>
                      <w:rPr>
                        <w:sz w:val="21"/>
                        <w:szCs w:val="21"/>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p>
    <w:pPr>
      <w:pStyle w:val="10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99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link w:val="1102"/>
    <w:uiPriority w:val="0"/>
    <w:qFormat/>
    <w:pPr>
      <w:jc w:val="both"/>
      <w:widowControl w:val="off"/>
    </w:pPr>
    <w:rPr>
      <w:rFonts w:hint="default" w:ascii="Times New Roman" w:hAnsi="Times New Roman" w:eastAsia="宋体" w:cs="Times New Roman"/>
      <w:sz w:val="21"/>
      <w:lang w:val="en-US" w:eastAsia="zh-CN" w:bidi="ar-SA"/>
    </w:rPr>
  </w:style>
  <w:style w:type="paragraph" w:styleId="867">
    <w:name w:val="Heading 1"/>
    <w:basedOn w:val="866"/>
    <w:next w:val="866"/>
    <w:link w:val="903"/>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link w:val="904"/>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link w:val="905"/>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link w:val="906"/>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link w:val="907"/>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link w:val="908"/>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10"/>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11"/>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right="0" w:firstLine="0"/>
      <w:spacing w:after="57"/>
    </w:pPr>
  </w:style>
  <w:style w:type="paragraph" w:styleId="879">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0">
    <w:name w:val="Body Text"/>
    <w:basedOn w:val="866"/>
    <w:next w:val="866"/>
    <w:uiPriority w:val="0"/>
    <w:qFormat/>
    <w:rPr>
      <w:rFonts w:ascii="Tahoma" w:hAnsi="Tahoma"/>
      <w:szCs w:val="24"/>
    </w:rPr>
  </w:style>
  <w:style w:type="paragraph" w:styleId="881">
    <w:name w:val="toc 5"/>
    <w:basedOn w:val="866"/>
    <w:next w:val="866"/>
    <w:uiPriority w:val="39"/>
    <w:unhideWhenUsed/>
    <w:qFormat/>
    <w:pPr>
      <w:ind w:left="1134" w:right="0" w:firstLine="0"/>
      <w:spacing w:after="57"/>
    </w:pPr>
  </w:style>
  <w:style w:type="paragraph" w:styleId="882">
    <w:name w:val="toc 3"/>
    <w:basedOn w:val="866"/>
    <w:next w:val="866"/>
    <w:uiPriority w:val="39"/>
    <w:unhideWhenUsed/>
    <w:qFormat/>
    <w:pPr>
      <w:ind w:left="567" w:right="0" w:firstLine="0"/>
      <w:spacing w:after="57"/>
    </w:pPr>
  </w:style>
  <w:style w:type="paragraph" w:styleId="883">
    <w:name w:val="toc 8"/>
    <w:basedOn w:val="866"/>
    <w:next w:val="866"/>
    <w:uiPriority w:val="39"/>
    <w:unhideWhenUsed/>
    <w:qFormat/>
    <w:pPr>
      <w:ind w:left="1984" w:right="0" w:firstLine="0"/>
      <w:spacing w:after="57"/>
    </w:pPr>
  </w:style>
  <w:style w:type="paragraph" w:styleId="884">
    <w:name w:val="endnote text"/>
    <w:basedOn w:val="866"/>
    <w:link w:val="1046"/>
    <w:uiPriority w:val="99"/>
    <w:semiHidden/>
    <w:unhideWhenUsed/>
    <w:qFormat/>
    <w:pPr>
      <w:spacing w:after="0" w:line="240" w:lineRule="auto"/>
    </w:pPr>
    <w:rPr>
      <w:sz w:val="20"/>
    </w:rPr>
  </w:style>
  <w:style w:type="paragraph" w:styleId="885">
    <w:name w:val="Footer"/>
    <w:basedOn w:val="866"/>
    <w:link w:val="920"/>
    <w:uiPriority w:val="99"/>
    <w:unhideWhenUsed/>
    <w:qFormat/>
    <w:pPr>
      <w:spacing w:after="0" w:line="240" w:lineRule="auto"/>
      <w:tabs>
        <w:tab w:val="center" w:pos="7143" w:leader="none"/>
        <w:tab w:val="right" w:pos="14287" w:leader="none"/>
      </w:tabs>
    </w:pPr>
  </w:style>
  <w:style w:type="paragraph" w:styleId="886">
    <w:name w:val="Header"/>
    <w:basedOn w:val="866"/>
    <w:link w:val="918"/>
    <w:uiPriority w:val="99"/>
    <w:unhideWhenUsed/>
    <w:qFormat/>
    <w:pPr>
      <w:spacing w:after="0" w:line="240" w:lineRule="auto"/>
      <w:tabs>
        <w:tab w:val="center" w:pos="7143" w:leader="none"/>
        <w:tab w:val="right" w:pos="14287" w:leader="none"/>
      </w:tabs>
    </w:pPr>
  </w:style>
  <w:style w:type="paragraph" w:styleId="887">
    <w:name w:val="toc 1"/>
    <w:basedOn w:val="866"/>
    <w:next w:val="866"/>
    <w:uiPriority w:val="39"/>
    <w:unhideWhenUsed/>
    <w:qFormat/>
    <w:pPr>
      <w:ind w:left="0" w:right="0" w:firstLine="0"/>
      <w:spacing w:after="57"/>
    </w:pPr>
  </w:style>
  <w:style w:type="paragraph" w:styleId="888">
    <w:name w:val="toc 4"/>
    <w:basedOn w:val="866"/>
    <w:next w:val="866"/>
    <w:uiPriority w:val="39"/>
    <w:unhideWhenUsed/>
    <w:qFormat/>
    <w:pPr>
      <w:ind w:left="850" w:right="0" w:firstLine="0"/>
      <w:spacing w:after="57"/>
    </w:pPr>
  </w:style>
  <w:style w:type="paragraph" w:styleId="889">
    <w:name w:val="Subtitle"/>
    <w:basedOn w:val="866"/>
    <w:next w:val="866"/>
    <w:link w:val="913"/>
    <w:uiPriority w:val="11"/>
    <w:qFormat/>
    <w:pPr>
      <w:spacing w:before="200" w:after="200"/>
    </w:pPr>
    <w:rPr>
      <w:sz w:val="24"/>
      <w:szCs w:val="24"/>
    </w:rPr>
  </w:style>
  <w:style w:type="paragraph" w:styleId="890">
    <w:name w:val="footnote text"/>
    <w:basedOn w:val="866"/>
    <w:link w:val="1045"/>
    <w:uiPriority w:val="99"/>
    <w:semiHidden/>
    <w:unhideWhenUsed/>
    <w:qFormat/>
    <w:pPr>
      <w:spacing w:after="40" w:line="240" w:lineRule="auto"/>
    </w:pPr>
    <w:rPr>
      <w:sz w:val="18"/>
    </w:rPr>
  </w:style>
  <w:style w:type="paragraph" w:styleId="891">
    <w:name w:val="toc 6"/>
    <w:basedOn w:val="866"/>
    <w:next w:val="866"/>
    <w:uiPriority w:val="39"/>
    <w:unhideWhenUsed/>
    <w:qFormat/>
    <w:pPr>
      <w:ind w:left="1417" w:right="0" w:firstLine="0"/>
      <w:spacing w:after="57"/>
    </w:pPr>
  </w:style>
  <w:style w:type="paragraph" w:styleId="892">
    <w:name w:val="table of figures"/>
    <w:basedOn w:val="866"/>
    <w:next w:val="866"/>
    <w:uiPriority w:val="99"/>
    <w:unhideWhenUsed/>
    <w:qFormat/>
    <w:pPr>
      <w:spacing w:after="0" w:afterAutospacing="0"/>
    </w:pPr>
  </w:style>
  <w:style w:type="paragraph" w:styleId="893">
    <w:name w:val="toc 2"/>
    <w:basedOn w:val="866"/>
    <w:next w:val="866"/>
    <w:uiPriority w:val="39"/>
    <w:unhideWhenUsed/>
    <w:qFormat/>
    <w:pPr>
      <w:ind w:left="283" w:right="0" w:firstLine="0"/>
      <w:spacing w:after="57"/>
    </w:pPr>
  </w:style>
  <w:style w:type="paragraph" w:styleId="894">
    <w:name w:val="toc 9"/>
    <w:basedOn w:val="866"/>
    <w:next w:val="866"/>
    <w:uiPriority w:val="39"/>
    <w:unhideWhenUsed/>
    <w:qFormat/>
    <w:pPr>
      <w:ind w:left="2268" w:right="0" w:firstLine="0"/>
      <w:spacing w:after="57"/>
    </w:pPr>
  </w:style>
  <w:style w:type="paragraph" w:styleId="895">
    <w:name w:val="Normal (Web)"/>
    <w:basedOn w:val="866"/>
    <w:uiPriority w:val="0"/>
    <w:qFormat/>
    <w:pPr>
      <w:jc w:val="left"/>
      <w:spacing w:before="100" w:beforeAutospacing="1" w:after="100" w:afterAutospacing="1"/>
      <w:widowControl/>
    </w:pPr>
    <w:rPr>
      <w:rFonts w:ascii="宋体" w:hAnsi="宋体" w:cs="宋体"/>
      <w:sz w:val="24"/>
    </w:rPr>
  </w:style>
  <w:style w:type="paragraph" w:styleId="896">
    <w:name w:val="Title"/>
    <w:basedOn w:val="866"/>
    <w:next w:val="866"/>
    <w:link w:val="912"/>
    <w:uiPriority w:val="10"/>
    <w:qFormat/>
    <w:pPr>
      <w:contextualSpacing/>
      <w:spacing w:before="300" w:after="200"/>
    </w:pPr>
    <w:rPr>
      <w:sz w:val="48"/>
      <w:szCs w:val="48"/>
    </w:rPr>
  </w:style>
  <w:style w:type="paragraph" w:styleId="897">
    <w:name w:val="Body Text First Indent"/>
    <w:basedOn w:val="880"/>
    <w:next w:val="866"/>
    <w:uiPriority w:val="0"/>
    <w:qFormat/>
    <w:pPr>
      <w:ind w:firstLine="420"/>
    </w:pPr>
  </w:style>
  <w:style w:type="table" w:styleId="8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endnote reference"/>
    <w:uiPriority w:val="99"/>
    <w:semiHidden/>
    <w:unhideWhenUsed/>
    <w:qFormat/>
    <w:rPr>
      <w:vertAlign w:val="superscript"/>
    </w:rPr>
  </w:style>
  <w:style w:type="character" w:styleId="900">
    <w:name w:val="Hyperlink"/>
    <w:uiPriority w:val="99"/>
    <w:unhideWhenUsed/>
    <w:qFormat/>
    <w:rPr>
      <w:color w:val="0000ff" w:themeColor="hyperlink"/>
      <w:u w:val="single"/>
      <w14:textFill>
        <w14:solidFill>
          <w14:schemeClr w14:val="hlink"/>
        </w14:solidFill>
      </w14:textFill>
    </w:rPr>
  </w:style>
  <w:style w:type="character" w:styleId="901">
    <w:name w:val="footnote reference"/>
    <w:uiPriority w:val="99"/>
    <w:unhideWhenUsed/>
    <w:qFormat/>
    <w:rPr>
      <w:vertAlign w:val="superscript"/>
    </w:rPr>
  </w:style>
  <w:style w:type="paragraph" w:styleId="902">
    <w:name w:val="List Paragraph"/>
    <w:basedOn w:val="866"/>
    <w:uiPriority w:val="34"/>
    <w:qFormat/>
    <w:pPr>
      <w:contextualSpacing/>
      <w:ind w:left="720"/>
    </w:pPr>
  </w:style>
  <w:style w:type="character" w:styleId="903" w:customStyle="1">
    <w:name w:val="Heading 1 Char"/>
    <w:link w:val="867"/>
    <w:uiPriority w:val="9"/>
    <w:qFormat/>
    <w:rPr>
      <w:rFonts w:ascii="Arial" w:hAnsi="Arial" w:eastAsia="Arial" w:cs="Arial"/>
      <w:sz w:val="40"/>
      <w:szCs w:val="40"/>
    </w:rPr>
  </w:style>
  <w:style w:type="character" w:styleId="904" w:customStyle="1">
    <w:name w:val="Heading 2 Char"/>
    <w:link w:val="868"/>
    <w:uiPriority w:val="9"/>
    <w:qFormat/>
    <w:rPr>
      <w:rFonts w:ascii="Arial" w:hAnsi="Arial" w:eastAsia="Arial" w:cs="Arial"/>
      <w:sz w:val="34"/>
    </w:rPr>
  </w:style>
  <w:style w:type="character" w:styleId="905" w:customStyle="1">
    <w:name w:val="Heading 3 Char"/>
    <w:link w:val="869"/>
    <w:uiPriority w:val="9"/>
    <w:qFormat/>
    <w:rPr>
      <w:rFonts w:ascii="Arial" w:hAnsi="Arial" w:eastAsia="Arial" w:cs="Arial"/>
      <w:sz w:val="30"/>
      <w:szCs w:val="30"/>
    </w:rPr>
  </w:style>
  <w:style w:type="character" w:styleId="906" w:customStyle="1">
    <w:name w:val="Heading 4 Char"/>
    <w:link w:val="870"/>
    <w:uiPriority w:val="9"/>
    <w:qFormat/>
    <w:rPr>
      <w:rFonts w:ascii="Arial" w:hAnsi="Arial" w:eastAsia="Arial" w:cs="Arial"/>
      <w:b/>
      <w:bCs/>
      <w:sz w:val="26"/>
      <w:szCs w:val="26"/>
    </w:rPr>
  </w:style>
  <w:style w:type="character" w:styleId="907" w:customStyle="1">
    <w:name w:val="Heading 5 Char"/>
    <w:link w:val="871"/>
    <w:uiPriority w:val="9"/>
    <w:qFormat/>
    <w:rPr>
      <w:rFonts w:ascii="Arial" w:hAnsi="Arial" w:eastAsia="Arial" w:cs="Arial"/>
      <w:b/>
      <w:bCs/>
      <w:sz w:val="24"/>
      <w:szCs w:val="24"/>
    </w:rPr>
  </w:style>
  <w:style w:type="character" w:styleId="908" w:customStyle="1">
    <w:name w:val="Heading 6 Char"/>
    <w:link w:val="872"/>
    <w:uiPriority w:val="9"/>
    <w:qFormat/>
    <w:rPr>
      <w:rFonts w:ascii="Arial" w:hAnsi="Arial" w:eastAsia="Arial" w:cs="Arial"/>
      <w:b/>
      <w:bCs/>
      <w:sz w:val="22"/>
      <w:szCs w:val="22"/>
    </w:rPr>
  </w:style>
  <w:style w:type="character" w:styleId="909" w:customStyle="1">
    <w:name w:val="Heading 7 Char"/>
    <w:link w:val="873"/>
    <w:uiPriority w:val="9"/>
    <w:qFormat/>
    <w:rPr>
      <w:rFonts w:ascii="Arial" w:hAnsi="Arial" w:eastAsia="Arial" w:cs="Arial"/>
      <w:b/>
      <w:bCs/>
      <w:i/>
      <w:iCs/>
      <w:sz w:val="22"/>
      <w:szCs w:val="22"/>
    </w:rPr>
  </w:style>
  <w:style w:type="character" w:styleId="910" w:customStyle="1">
    <w:name w:val="Heading 8 Char"/>
    <w:link w:val="874"/>
    <w:uiPriority w:val="9"/>
    <w:qFormat/>
    <w:rPr>
      <w:rFonts w:ascii="Arial" w:hAnsi="Arial" w:eastAsia="Arial" w:cs="Arial"/>
      <w:i/>
      <w:iCs/>
      <w:sz w:val="22"/>
      <w:szCs w:val="22"/>
    </w:rPr>
  </w:style>
  <w:style w:type="character" w:styleId="911" w:customStyle="1">
    <w:name w:val="Heading 9 Char"/>
    <w:link w:val="875"/>
    <w:uiPriority w:val="9"/>
    <w:qFormat/>
    <w:rPr>
      <w:rFonts w:ascii="Arial" w:hAnsi="Arial" w:eastAsia="Arial" w:cs="Arial"/>
      <w:i/>
      <w:iCs/>
      <w:sz w:val="21"/>
      <w:szCs w:val="21"/>
    </w:rPr>
  </w:style>
  <w:style w:type="character" w:styleId="912" w:customStyle="1">
    <w:name w:val="Title Char"/>
    <w:link w:val="896"/>
    <w:uiPriority w:val="10"/>
    <w:qFormat/>
    <w:rPr>
      <w:sz w:val="48"/>
      <w:szCs w:val="48"/>
    </w:rPr>
  </w:style>
  <w:style w:type="character" w:styleId="913" w:customStyle="1">
    <w:name w:val="Subtitle Char"/>
    <w:link w:val="889"/>
    <w:uiPriority w:val="11"/>
    <w:qFormat/>
    <w:rPr>
      <w:sz w:val="24"/>
      <w:szCs w:val="24"/>
    </w:rPr>
  </w:style>
  <w:style w:type="paragraph" w:styleId="914">
    <w:name w:val="Quote"/>
    <w:basedOn w:val="866"/>
    <w:next w:val="866"/>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66"/>
    <w:next w:val="866"/>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link w:val="886"/>
    <w:uiPriority w:val="99"/>
    <w:qFormat/>
  </w:style>
  <w:style w:type="character" w:styleId="919" w:customStyle="1">
    <w:name w:val="Footer Char"/>
    <w:link w:val="885"/>
    <w:uiPriority w:val="99"/>
    <w:qFormat/>
  </w:style>
  <w:style w:type="character" w:styleId="920" w:customStyle="1">
    <w:name w:val="Caption Char"/>
    <w:link w:val="885"/>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Footnote Text Char"/>
    <w:link w:val="890"/>
    <w:uiPriority w:val="99"/>
    <w:qFormat/>
    <w:rPr>
      <w:sz w:val="18"/>
    </w:rPr>
  </w:style>
  <w:style w:type="character" w:styleId="1046" w:customStyle="1">
    <w:name w:val="Endnote Text Char"/>
    <w:link w:val="884"/>
    <w:uiPriority w:val="99"/>
    <w:qFormat/>
    <w:rPr>
      <w:sz w:val="20"/>
    </w:rPr>
  </w:style>
  <w:style w:type="paragraph" w:styleId="1047" w:customStyle="1">
    <w:name w:val="TOC Heading"/>
    <w:uiPriority w:val="39"/>
    <w:unhideWhenUsed/>
    <w:qFormat/>
    <w:rPr>
      <w:rFonts w:hint="default" w:ascii="Times New Roman" w:hAnsi="Times New Roman" w:eastAsia="宋体" w:cs="Times New Roman"/>
    </w:rPr>
  </w:style>
  <w:style w:type="paragraph" w:styleId="1048" w:customStyle="1">
    <w:name w:val="标题 11"/>
    <w:basedOn w:val="866"/>
    <w:next w:val="866"/>
    <w:uiPriority w:val="9"/>
    <w:qFormat/>
    <w:pPr>
      <w:keepLines/>
      <w:keepNext/>
      <w:spacing w:before="340" w:after="330" w:line="578" w:lineRule="auto"/>
      <w:outlineLvl w:val="0"/>
    </w:pPr>
    <w:rPr>
      <w:b/>
      <w:bCs/>
      <w:sz w:val="44"/>
      <w:szCs w:val="44"/>
    </w:rPr>
  </w:style>
  <w:style w:type="paragraph" w:styleId="1049" w:customStyle="1">
    <w:name w:val="标题 21"/>
    <w:basedOn w:val="866"/>
    <w:next w:val="866"/>
    <w:uiPriority w:val="0"/>
    <w:qFormat/>
    <w:pPr>
      <w:jc w:val="left"/>
      <w:spacing w:beforeAutospacing="1" w:afterAutospacing="1"/>
      <w:widowControl/>
      <w:outlineLvl w:val="1"/>
    </w:pPr>
    <w:rPr>
      <w:rFonts w:hint="eastAsia" w:ascii="宋体" w:hAnsi="宋体" w:eastAsia="宋体" w:cs="Times New Roman"/>
      <w:b/>
      <w:bCs/>
      <w:sz w:val="36"/>
      <w:szCs w:val="36"/>
    </w:rPr>
  </w:style>
  <w:style w:type="paragraph" w:styleId="1050" w:customStyle="1">
    <w:name w:val="标题 311"/>
    <w:basedOn w:val="866"/>
    <w:next w:val="866"/>
    <w:uiPriority w:val="9"/>
    <w:qFormat/>
    <w:pPr>
      <w:keepLines/>
      <w:keepNext/>
      <w:spacing w:before="260" w:after="260" w:line="416" w:lineRule="auto"/>
      <w:outlineLvl w:val="2"/>
    </w:pPr>
    <w:rPr>
      <w:b/>
      <w:bCs/>
      <w:sz w:val="32"/>
      <w:szCs w:val="32"/>
    </w:rPr>
  </w:style>
  <w:style w:type="paragraph" w:styleId="1051" w:customStyle="1">
    <w:name w:val="标题 41"/>
    <w:basedOn w:val="866"/>
    <w:next w:val="866"/>
    <w:uiPriority w:val="9"/>
    <w:qFormat/>
    <w:pPr>
      <w:keepLines/>
      <w:keepNext/>
      <w:spacing w:before="120" w:after="120"/>
      <w:outlineLvl w:val="3"/>
    </w:pPr>
    <w:rPr>
      <w:rFonts w:ascii="Arial" w:hAnsi="Arial" w:eastAsia="黑体"/>
      <w:b/>
      <w:sz w:val="20"/>
      <w:szCs w:val="20"/>
    </w:rPr>
  </w:style>
  <w:style w:type="character" w:styleId="1052" w:customStyle="1">
    <w:name w:val="默认段落字体1"/>
    <w:link w:val="866"/>
    <w:uiPriority w:val="1"/>
    <w:unhideWhenUsed/>
    <w:qFormat/>
  </w:style>
  <w:style w:type="table" w:styleId="1053" w:customStyle="1">
    <w:name w:val="普通表格1"/>
    <w:uiPriority w:val="99"/>
    <w:unhideWhenUsed/>
    <w:qFormat/>
    <w:tblPr/>
  </w:style>
  <w:style w:type="paragraph" w:styleId="1054" w:customStyle="1">
    <w:name w:val="正文文本11"/>
    <w:basedOn w:val="866"/>
    <w:next w:val="866"/>
    <w:uiPriority w:val="0"/>
    <w:qFormat/>
    <w:rPr>
      <w:rFonts w:ascii="Tahoma" w:hAnsi="Tahoma"/>
      <w:szCs w:val="24"/>
    </w:rPr>
  </w:style>
  <w:style w:type="paragraph" w:styleId="1055" w:customStyle="1">
    <w:name w:val="正文缩进11"/>
    <w:basedOn w:val="866"/>
    <w:uiPriority w:val="0"/>
    <w:qFormat/>
    <w:pPr>
      <w:ind w:firstLine="420"/>
    </w:pPr>
    <w:rPr>
      <w:szCs w:val="24"/>
    </w:rPr>
  </w:style>
  <w:style w:type="paragraph" w:styleId="1056" w:customStyle="1">
    <w:name w:val="批注文字1"/>
    <w:basedOn w:val="866"/>
    <w:uiPriority w:val="0"/>
    <w:qFormat/>
    <w:pPr>
      <w:jc w:val="left"/>
    </w:pPr>
    <w:rPr>
      <w:sz w:val="21"/>
    </w:rPr>
  </w:style>
  <w:style w:type="paragraph" w:styleId="1057" w:customStyle="1">
    <w:name w:val="正文文本缩进1"/>
    <w:basedOn w:val="866"/>
    <w:next w:val="1058"/>
    <w:uiPriority w:val="0"/>
    <w:qFormat/>
    <w:pPr>
      <w:ind w:firstLine="480"/>
      <w:tabs>
        <w:tab w:val="left" w:pos="180" w:leader="none"/>
      </w:tabs>
    </w:pPr>
    <w:rPr>
      <w:rFonts w:ascii="Tahoma" w:hAnsi="Tahoma"/>
      <w:sz w:val="24"/>
    </w:rPr>
  </w:style>
  <w:style w:type="paragraph" w:styleId="1058" w:customStyle="1">
    <w:name w:val="寄信人地址1"/>
    <w:basedOn w:val="866"/>
    <w:uiPriority w:val="0"/>
    <w:qFormat/>
    <w:rPr>
      <w:rFonts w:ascii="Arial" w:hAnsi="Arial"/>
    </w:rPr>
  </w:style>
  <w:style w:type="paragraph" w:styleId="1059" w:customStyle="1">
    <w:name w:val="列表 21"/>
    <w:basedOn w:val="866"/>
    <w:uiPriority w:val="0"/>
    <w:qFormat/>
    <w:pPr>
      <w:ind w:left="100" w:hanging="200"/>
    </w:pPr>
    <w:rPr>
      <w:szCs w:val="24"/>
    </w:rPr>
  </w:style>
  <w:style w:type="paragraph" w:styleId="1060" w:customStyle="1">
    <w:name w:val="纯文本1"/>
    <w:basedOn w:val="866"/>
    <w:uiPriority w:val="0"/>
    <w:qFormat/>
    <w:rPr>
      <w:rFonts w:ascii="宋体" w:hAnsi="Courier New"/>
    </w:rPr>
  </w:style>
  <w:style w:type="paragraph" w:styleId="1061" w:customStyle="1">
    <w:name w:val="批注框文本1"/>
    <w:basedOn w:val="866"/>
    <w:link w:val="1062"/>
    <w:uiPriority w:val="0"/>
    <w:qFormat/>
    <w:rPr>
      <w:sz w:val="18"/>
      <w:szCs w:val="18"/>
    </w:rPr>
  </w:style>
  <w:style w:type="character" w:styleId="1062" w:customStyle="1">
    <w:name w:val="批注框文本 Char"/>
    <w:link w:val="1061"/>
    <w:uiPriority w:val="0"/>
    <w:qFormat/>
    <w:rPr>
      <w:sz w:val="18"/>
      <w:szCs w:val="18"/>
    </w:rPr>
  </w:style>
  <w:style w:type="paragraph" w:styleId="1063" w:customStyle="1">
    <w:name w:val="页脚1"/>
    <w:basedOn w:val="866"/>
    <w:uiPriority w:val="99"/>
    <w:unhideWhenUsed/>
    <w:qFormat/>
    <w:pPr>
      <w:jc w:val="left"/>
      <w:tabs>
        <w:tab w:val="center" w:pos="4153" w:leader="none"/>
        <w:tab w:val="right" w:pos="8306" w:leader="none"/>
      </w:tabs>
    </w:pPr>
    <w:rPr>
      <w:sz w:val="18"/>
      <w:szCs w:val="18"/>
    </w:rPr>
  </w:style>
  <w:style w:type="paragraph" w:styleId="1064" w:customStyle="1">
    <w:name w:val="页眉1"/>
    <w:basedOn w:val="866"/>
    <w:link w:val="1065"/>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页眉 Char"/>
    <w:link w:val="1064"/>
    <w:uiPriority w:val="0"/>
    <w:qFormat/>
    <w:rPr>
      <w:rFonts w:ascii="Times New Roman" w:hAnsi="Times New Roman" w:eastAsia="宋体" w:cs="Times New Roman"/>
      <w:sz w:val="18"/>
      <w:szCs w:val="18"/>
    </w:rPr>
  </w:style>
  <w:style w:type="paragraph" w:styleId="1066" w:customStyle="1">
    <w:name w:val="索引标题1"/>
    <w:basedOn w:val="866"/>
    <w:next w:val="1067"/>
    <w:uiPriority w:val="99"/>
    <w:unhideWhenUsed/>
    <w:qFormat/>
    <w:pPr>
      <w:spacing w:line="500" w:lineRule="exact"/>
    </w:pPr>
    <w:rPr>
      <w:rFonts w:ascii="仿宋_GB2312" w:hAnsi="Calibri"/>
      <w:sz w:val="28"/>
    </w:rPr>
  </w:style>
  <w:style w:type="paragraph" w:styleId="1067" w:customStyle="1">
    <w:name w:val="索引 11"/>
    <w:basedOn w:val="866"/>
    <w:next w:val="866"/>
    <w:uiPriority w:val="99"/>
    <w:unhideWhenUsed/>
    <w:qFormat/>
  </w:style>
  <w:style w:type="paragraph" w:styleId="1068" w:customStyle="1">
    <w:name w:val="列表1"/>
    <w:basedOn w:val="866"/>
    <w:uiPriority w:val="0"/>
    <w:qFormat/>
    <w:pPr>
      <w:ind w:left="420" w:hanging="420"/>
    </w:pPr>
  </w:style>
  <w:style w:type="paragraph" w:styleId="1069" w:customStyle="1">
    <w:name w:val="正文文本缩进 31"/>
    <w:basedOn w:val="866"/>
    <w:uiPriority w:val="0"/>
    <w:qFormat/>
    <w:pPr>
      <w:ind w:firstLine="480"/>
      <w:spacing w:line="400" w:lineRule="exact"/>
    </w:pPr>
    <w:rPr>
      <w:sz w:val="24"/>
    </w:rPr>
  </w:style>
  <w:style w:type="paragraph" w:styleId="1070" w:customStyle="1">
    <w:name w:val="目录 21"/>
    <w:basedOn w:val="866"/>
    <w:next w:val="866"/>
    <w:uiPriority w:val="39"/>
    <w:unhideWhenUsed/>
    <w:qFormat/>
    <w:pPr>
      <w:ind w:left="283" w:right="0" w:firstLine="0"/>
      <w:spacing w:after="57"/>
    </w:pPr>
  </w:style>
  <w:style w:type="paragraph" w:styleId="1071" w:customStyle="1">
    <w:name w:val="普通(网站)1"/>
    <w:basedOn w:val="86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2" w:customStyle="1">
    <w:name w:val="正文首行缩进11"/>
    <w:basedOn w:val="866"/>
    <w:next w:val="866"/>
    <w:uiPriority w:val="0"/>
    <w:qFormat/>
    <w:pPr>
      <w:ind w:firstLine="420"/>
    </w:pPr>
  </w:style>
  <w:style w:type="paragraph" w:styleId="1073" w:customStyle="1">
    <w:name w:val="正文首行缩进 21"/>
    <w:basedOn w:val="1057"/>
    <w:next w:val="866"/>
    <w:uiPriority w:val="0"/>
    <w:qFormat/>
    <w:pPr>
      <w:ind w:left="420" w:firstLine="420"/>
    </w:pPr>
    <w:rPr>
      <w:rFonts w:ascii="Times New Roman" w:hAnsi="Times New Roman"/>
      <w:szCs w:val="24"/>
    </w:rPr>
  </w:style>
  <w:style w:type="table" w:styleId="1074" w:customStyle="1">
    <w:name w:val="网格型1"/>
    <w:basedOn w:val="1053"/>
    <w:uiPriority w:val="99"/>
    <w:qFormat/>
    <w:rPr>
      <w:rFonts w:ascii="Calibri" w:hAnsi="Calibri" w:eastAsia="宋体" w:cs="Times New Roman"/>
      <w:sz w:val="20"/>
      <w:szCs w:val="20"/>
    </w:rPr>
    <w:tblPr/>
  </w:style>
  <w:style w:type="character" w:styleId="1075" w:customStyle="1">
    <w:name w:val="要点1"/>
    <w:link w:val="866"/>
    <w:uiPriority w:val="0"/>
    <w:qFormat/>
    <w:rPr>
      <w:b/>
      <w:bCs/>
    </w:rPr>
  </w:style>
  <w:style w:type="character" w:styleId="1076" w:customStyle="1">
    <w:name w:val="页码1"/>
    <w:basedOn w:val="1052"/>
    <w:link w:val="866"/>
    <w:uiPriority w:val="0"/>
    <w:qFormat/>
    <w:rPr>
      <w:rFonts w:ascii="Times New Roman" w:hAnsi="Times New Roman" w:eastAsia="宋体" w:cs="Times New Roman"/>
    </w:rPr>
  </w:style>
  <w:style w:type="character" w:styleId="1077" w:customStyle="1">
    <w:name w:val="超链接1"/>
    <w:link w:val="866"/>
    <w:uiPriority w:val="0"/>
    <w:qFormat/>
    <w:rPr>
      <w:color w:val="0000ff"/>
      <w:u w:val="single"/>
    </w:rPr>
  </w:style>
  <w:style w:type="paragraph" w:styleId="1078"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107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80" w:customStyle="1">
    <w:name w:val="标题 31"/>
    <w:basedOn w:val="866"/>
    <w:next w:val="866"/>
    <w:uiPriority w:val="9"/>
    <w:qFormat/>
    <w:pPr>
      <w:keepLines/>
      <w:keepNext/>
      <w:spacing w:before="260" w:after="260" w:line="416" w:lineRule="auto"/>
      <w:outlineLvl w:val="2"/>
    </w:pPr>
    <w:rPr>
      <w:rFonts w:ascii="Calibri" w:hAnsi="Calibri"/>
      <w:b/>
      <w:bCs/>
      <w:sz w:val="32"/>
      <w:szCs w:val="32"/>
    </w:rPr>
  </w:style>
  <w:style w:type="paragraph" w:styleId="1081" w:customStyle="1">
    <w:name w:val="一级条标题"/>
    <w:basedOn w:val="1082"/>
    <w:next w:val="10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customStyle="1">
    <w:name w:val="章标题"/>
    <w:next w:val="8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3" w:customStyle="1">
    <w:name w:val="段"/>
    <w:next w:val="108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84" w:customStyle="1">
    <w:name w:val="正文 A"/>
    <w:next w:val="1083"/>
    <w:uiPriority w:val="0"/>
    <w:qFormat/>
    <w:pPr>
      <w:jc w:val="both"/>
      <w:widowControl w:val="off"/>
    </w:pPr>
    <w:rPr>
      <w:rFonts w:hint="default" w:ascii="Calibri" w:hAnsi="Calibri" w:eastAsia="Calibri" w:cs="Calibri"/>
      <w:color w:val="000000"/>
      <w:sz w:val="21"/>
      <w:szCs w:val="21"/>
      <w:lang w:val="en-US" w:eastAsia="zh-CN" w:bidi="ar-SA"/>
    </w:rPr>
  </w:style>
  <w:style w:type="paragraph" w:styleId="1085" w:customStyle="1">
    <w:name w:val="正文1"/>
    <w:basedOn w:val="866"/>
    <w:uiPriority w:val="0"/>
    <w:qFormat/>
    <w:pPr>
      <w:ind w:right="-167"/>
      <w:spacing w:line="440" w:lineRule="exact"/>
      <w:widowControl/>
    </w:pPr>
    <w:rPr>
      <w:b/>
    </w:rPr>
  </w:style>
  <w:style w:type="paragraph" w:styleId="1086" w:customStyle="1">
    <w:name w:val="列出段落"/>
    <w:basedOn w:val="866"/>
    <w:uiPriority w:val="34"/>
    <w:qFormat/>
    <w:pPr>
      <w:ind w:firstLine="420"/>
    </w:pPr>
  </w:style>
  <w:style w:type="paragraph" w:styleId="1087" w:customStyle="1">
    <w:name w:val="msolistparagraph"/>
    <w:basedOn w:val="866"/>
    <w:uiPriority w:val="0"/>
    <w:qFormat/>
    <w:pPr>
      <w:ind w:firstLine="420"/>
    </w:pPr>
    <w:rPr>
      <w:rFonts w:ascii="Calibri" w:hAnsi="Calibri" w:eastAsia="宋体" w:cs="Times New Roman"/>
    </w:rPr>
  </w:style>
  <w:style w:type="paragraph" w:styleId="1088" w:customStyle="1">
    <w:name w:val="179"/>
    <w:basedOn w:val="866"/>
    <w:uiPriority w:val="0"/>
    <w:qFormat/>
    <w:pPr>
      <w:ind w:firstLine="420"/>
      <w:widowControl/>
    </w:pPr>
    <w:rPr>
      <w:rFonts w:ascii="Calibri" w:hAnsi="Calibri"/>
    </w:rPr>
  </w:style>
  <w:style w:type="character" w:styleId="1089" w:customStyle="1">
    <w:name w:val="NormalCharacter1"/>
    <w:link w:val="866"/>
    <w:uiPriority w:val="0"/>
    <w:semiHidden/>
    <w:qFormat/>
  </w:style>
  <w:style w:type="paragraph" w:styleId="1090" w:customStyle="1">
    <w:name w:val="Heading21"/>
    <w:basedOn w:val="866"/>
    <w:next w:val="866"/>
    <w:uiPriority w:val="0"/>
    <w:qFormat/>
    <w:pPr>
      <w:keepLines/>
      <w:keepNext/>
      <w:spacing w:before="260" w:after="260" w:line="412" w:lineRule="auto"/>
      <w:widowControl/>
    </w:pPr>
    <w:rPr>
      <w:rFonts w:ascii="Arial" w:hAnsi="Arial" w:eastAsia="黑体"/>
      <w:sz w:val="32"/>
      <w:szCs w:val="32"/>
    </w:rPr>
  </w:style>
  <w:style w:type="table" w:styleId="1091" w:customStyle="1">
    <w:name w:val="Plain Table 1"/>
    <w:uiPriority w:val="41"/>
    <w:qFormat/>
    <w:rPr>
      <w:lang w:val="en-US" w:eastAsia="zh-CN" w:bidi="ar-SA"/>
    </w:rPr>
    <w:tblPr/>
  </w:style>
  <w:style w:type="paragraph" w:styleId="1092" w:customStyle="1">
    <w:name w:val="列表段落1"/>
    <w:basedOn w:val="866"/>
    <w:uiPriority w:val="34"/>
    <w:qFormat/>
    <w:pPr>
      <w:ind w:firstLine="420"/>
    </w:pPr>
    <w:rPr>
      <w:rFonts w:ascii="Times New Roman" w:hAnsi="Times New Roman" w:eastAsia="宋体" w:cs="Times New Roman"/>
      <w:szCs w:val="21"/>
    </w:rPr>
  </w:style>
  <w:style w:type="paragraph" w:styleId="1093" w:customStyle="1">
    <w:name w:val="表格文字"/>
    <w:basedOn w:val="866"/>
    <w:next w:val="1054"/>
    <w:uiPriority w:val="0"/>
    <w:qFormat/>
    <w:pPr>
      <w:jc w:val="left"/>
      <w:spacing w:before="25" w:after="25"/>
    </w:pPr>
    <w:rPr>
      <w:bCs/>
      <w:spacing w:val="10"/>
      <w:sz w:val="24"/>
      <w:szCs w:val="20"/>
    </w:rPr>
  </w:style>
  <w:style w:type="paragraph" w:styleId="1094" w:customStyle="1">
    <w:name w:val="列出段落1"/>
    <w:basedOn w:val="866"/>
    <w:uiPriority w:val="0"/>
    <w:qFormat/>
    <w:pPr>
      <w:ind w:firstLine="420"/>
    </w:pPr>
  </w:style>
  <w:style w:type="paragraph" w:styleId="1095" w:customStyle="1">
    <w:name w:val="正文首行缩进1"/>
    <w:basedOn w:val="1096"/>
    <w:next w:val="866"/>
    <w:uiPriority w:val="0"/>
    <w:qFormat/>
    <w:pPr>
      <w:ind w:firstLine="420"/>
    </w:pPr>
  </w:style>
  <w:style w:type="paragraph" w:styleId="1096" w:customStyle="1">
    <w:name w:val="正文文本1"/>
    <w:basedOn w:val="866"/>
    <w:next w:val="866"/>
    <w:uiPriority w:val="0"/>
    <w:qFormat/>
    <w:rPr>
      <w:rFonts w:ascii="Tahoma" w:hAnsi="Tahoma"/>
      <w:szCs w:val="24"/>
    </w:rPr>
  </w:style>
  <w:style w:type="character" w:styleId="1097" w:customStyle="1">
    <w:name w:val="font21"/>
    <w:basedOn w:val="1052"/>
    <w:link w:val="866"/>
    <w:uiPriority w:val="0"/>
    <w:qFormat/>
    <w:rPr>
      <w:rFonts w:ascii="方正仿宋_GBK" w:hAnsi="方正仿宋_GBK" w:eastAsia="方正仿宋_GBK" w:cs="方正仿宋_GBK"/>
      <w:color w:val="000000"/>
      <w:sz w:val="22"/>
      <w:szCs w:val="22"/>
      <w:u w:val="none"/>
    </w:rPr>
  </w:style>
  <w:style w:type="character" w:styleId="1098" w:customStyle="1">
    <w:name w:val="font51"/>
    <w:basedOn w:val="1052"/>
    <w:link w:val="866"/>
    <w:uiPriority w:val="0"/>
    <w:qFormat/>
    <w:rPr>
      <w:rFonts w:ascii="Times New Roman" w:hAnsi="Times New Roman" w:cs="Times New Roman"/>
      <w:color w:val="000000"/>
      <w:sz w:val="20"/>
      <w:szCs w:val="20"/>
      <w:u w:val="none"/>
    </w:rPr>
  </w:style>
  <w:style w:type="character" w:styleId="1099" w:customStyle="1">
    <w:name w:val="font101"/>
    <w:basedOn w:val="1052"/>
    <w:link w:val="866"/>
    <w:uiPriority w:val="0"/>
    <w:qFormat/>
    <w:rPr>
      <w:rFonts w:ascii="方正仿宋_GBK" w:hAnsi="方正仿宋_GBK" w:eastAsia="方正仿宋_GBK" w:cs="方正仿宋_GBK"/>
      <w:color w:val="000000"/>
      <w:sz w:val="20"/>
      <w:szCs w:val="20"/>
      <w:u w:val="none"/>
    </w:rPr>
  </w:style>
  <w:style w:type="character" w:styleId="1100" w:customStyle="1">
    <w:name w:val="font131"/>
    <w:basedOn w:val="1052"/>
    <w:link w:val="866"/>
    <w:uiPriority w:val="0"/>
    <w:qFormat/>
    <w:rPr>
      <w:rFonts w:ascii="方正仿宋_GBK" w:hAnsi="方正仿宋_GBK" w:eastAsia="方正仿宋_GBK" w:cs="方正仿宋_GBK"/>
      <w:color w:val="000000"/>
      <w:sz w:val="20"/>
      <w:szCs w:val="20"/>
      <w:u w:val="none"/>
    </w:rPr>
  </w:style>
  <w:style w:type="character" w:styleId="1101" w:customStyle="1">
    <w:name w:val="font111"/>
    <w:basedOn w:val="1052"/>
    <w:link w:val="866"/>
    <w:uiPriority w:val="0"/>
    <w:qFormat/>
    <w:rPr>
      <w:rFonts w:ascii="仿宋" w:hAnsi="仿宋" w:eastAsia="仿宋" w:cs="仿宋"/>
      <w:color w:val="000000"/>
      <w:sz w:val="24"/>
      <w:szCs w:val="24"/>
      <w:u w:val="none"/>
    </w:rPr>
  </w:style>
  <w:style w:type="character" w:styleId="1102" w:customStyle="1">
    <w:name w:val="font151"/>
    <w:basedOn w:val="1052"/>
    <w:link w:val="866"/>
    <w:uiPriority w:val="0"/>
    <w:qFormat/>
    <w:rPr>
      <w:rFonts w:ascii="仿宋" w:hAnsi="仿宋" w:eastAsia="仿宋" w:cs="仿宋"/>
      <w:color w:val="000000"/>
      <w:sz w:val="24"/>
      <w:szCs w:val="24"/>
      <w:u w:val="none"/>
    </w:rPr>
  </w:style>
  <w:style w:type="paragraph" w:styleId="1103">
    <w:name w:val="No Spacing"/>
    <w:uiPriority w:val="1"/>
    <w:qFormat/>
    <w:pPr>
      <w:spacing w:before="0" w:after="0" w:line="240" w:lineRule="auto"/>
    </w:pPr>
    <w:rPr>
      <w:rFonts w:hint="default" w:ascii="Times New Roman" w:hAnsi="Times New Roman" w:eastAsia="宋体" w:cs="Times New Roman"/>
    </w:rPr>
  </w:style>
  <w:style w:type="paragraph" w:styleId="1104" w:customStyle="1">
    <w:name w:val="_正文段落"/>
    <w:basedOn w:val="866"/>
    <w:uiPriority w:val="0"/>
    <w:qFormat/>
    <w:pPr>
      <w:ind w:firstLine="200"/>
      <w:spacing w:line="560" w:lineRule="exact"/>
    </w:pPr>
    <w:rPr>
      <w:rFonts w:ascii="Calibri" w:hAnsi="Calibri" w:eastAsia="仿宋_GB2312"/>
      <w:color w:val="000000"/>
      <w:sz w:val="32"/>
      <w:szCs w:val="24"/>
    </w:rPr>
  </w:style>
  <w:style w:type="table" w:styleId="1105" w:customStyle="1">
    <w:name w:val="Table Normal"/>
    <w:uiPriority w:val="0"/>
    <w:unhideWhenUsed/>
    <w:qFormat/>
    <w:tblPr/>
  </w:style>
  <w:style w:type="paragraph" w:styleId="1106" w:customStyle="1">
    <w:name w:val="Table Text"/>
    <w:basedOn w:val="866"/>
    <w:uiPriority w:val="0"/>
    <w:semiHidden/>
    <w:qFormat/>
    <w:rPr>
      <w:rFonts w:ascii="微软雅黑" w:hAnsi="微软雅黑" w:eastAsia="微软雅黑" w:cs="微软雅黑"/>
      <w:sz w:val="31"/>
      <w:szCs w:val="31"/>
      <w:lang w:val="en-US" w:eastAsia="en-US" w:bidi="ar-SA"/>
    </w:rPr>
  </w:style>
  <w:style w:type="paragraph" w:styleId="1107" w:customStyle="1">
    <w:name w:val="正文缩进1"/>
    <w:basedOn w:val="866"/>
    <w:next w:val="1096"/>
    <w:uiPriority w:val="0"/>
    <w:qFormat/>
    <w:pPr>
      <w:ind w:firstLine="420"/>
    </w:pPr>
    <w:rPr>
      <w:rFonts w:ascii="Times New Roman" w:hAnsi="Times New Roman"/>
      <w:sz w:val="20"/>
      <w:szCs w:val="21"/>
    </w:rPr>
  </w:style>
  <w:style w:type="paragraph" w:styleId="1108" w:customStyle="1">
    <w:name w:val="Plain Text1"/>
    <w:basedOn w:val="866"/>
    <w:uiPriority w:val="0"/>
    <w:qFormat/>
    <w:rPr>
      <w:rFonts w:ascii="宋体" w:hAnsi="Courier New" w:eastAsia="楷体_GB2312"/>
      <w:sz w:val="28"/>
      <w:szCs w:val="20"/>
    </w:rPr>
  </w:style>
  <w:style w:type="numbering" w:styleId="15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永道--陆云云</cp:lastModifiedBy>
  <cp:revision>6</cp:revision>
  <dcterms:created xsi:type="dcterms:W3CDTF">2024-03-07T08:57:00Z</dcterms:created>
  <dcterms:modified xsi:type="dcterms:W3CDTF">2025-11-01T02:39:30Z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eyJoZGlkIjoiMjgyZjgwMzUxZTFhMGQzMTZkZjQ0ZjliZGYzNmI0N2EiLCJ1c2VySWQiOiIxMTA1NjQ2ODY3In0=</vt:lpwstr>
  </property>
  <property fmtid="{D5CDD505-2E9C-101B-9397-08002B2CF9AE}" pid="3" name="KSOProductBuildVer">
    <vt:lpwstr>2052-12.1.0.23125</vt:lpwstr>
  </property>
  <property fmtid="{D5CDD505-2E9C-101B-9397-08002B2CF9AE}" pid="4" name="ICV">
    <vt:lpwstr>A01F6260D3624397A69AA6B5E5EE1CA7_13</vt:lpwstr>
  </property>
</Properties>
</file>